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9.wmf" ContentType="image/x-wmf"/>
  <Override PartName="/word/media/image2.jpeg" ContentType="image/jpeg"/>
  <Override PartName="/word/media/image3.wmf" ContentType="image/x-wmf"/>
  <Override PartName="/word/media/image4.wmf" ContentType="image/x-wmf"/>
  <Override PartName="/word/media/image5.wmf" ContentType="image/x-wmf"/>
  <Override PartName="/word/media/image6.wmf" ContentType="image/x-wmf"/>
  <Override PartName="/word/media/image7.wmf" ContentType="image/x-wmf"/>
  <Override PartName="/word/media/image8.wmf" ContentType="image/x-wmf"/>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jc w:val="center"/>
        <w:rPr>
          <w:b/>
          <w:sz w:val="36"/>
          <w:szCs w:val="36"/>
          <w:u w:val="single"/>
        </w:rPr>
      </w:pPr>
      <w:r>
        <w:rPr>
          <w:b/>
          <w:sz w:val="36"/>
          <w:szCs w:val="36"/>
          <w:u w:val="single"/>
        </w:rPr>
        <w:t>І. УВОД</w:t>
      </w:r>
    </w:p>
    <w:p>
      <w:pPr>
        <w:pStyle w:val="Normal"/>
        <w:spacing w:lineRule="auto" w:line="360"/>
        <w:jc w:val="center"/>
        <w:rPr>
          <w:b/>
          <w:sz w:val="36"/>
          <w:szCs w:val="36"/>
          <w:u w:val="single"/>
        </w:rPr>
      </w:pPr>
      <w:r>
        <w:rPr>
          <w:b/>
          <w:sz w:val="36"/>
          <w:szCs w:val="36"/>
          <w:u w:val="single"/>
        </w:rPr>
      </w:r>
    </w:p>
    <w:p>
      <w:pPr>
        <w:pStyle w:val="Normal"/>
        <w:spacing w:lineRule="auto" w:line="360"/>
        <w:jc w:val="both"/>
        <w:rPr>
          <w:b/>
          <w:sz w:val="28"/>
          <w:szCs w:val="28"/>
          <w:u w:val="single"/>
        </w:rPr>
      </w:pPr>
      <w:r>
        <w:rPr>
          <w:b/>
          <w:sz w:val="28"/>
          <w:szCs w:val="28"/>
          <w:u w:val="single"/>
        </w:rPr>
      </w:r>
    </w:p>
    <w:p>
      <w:pPr>
        <w:pStyle w:val="Normal"/>
        <w:spacing w:lineRule="auto" w:line="360"/>
        <w:ind w:firstLine="708"/>
        <w:jc w:val="both"/>
        <w:rPr/>
      </w:pPr>
      <w:r>
        <w:rPr>
          <w:sz w:val="28"/>
          <w:szCs w:val="28"/>
        </w:rPr>
        <w:t xml:space="preserve">Гръбначните изкривявания, познати на лекарите още от дълбока древност, са и продължават да бъдат един от най-сложните проблеми в съвременната ортопедия. Проучванията върху честотата на разпространение на гръбначните изкривявания показват от една страна нарастване на стойностите и от друга намаляване на възрастта на проявление на деформацията. Сложността на проблема се обуславя не само от широкото разпространение на заболяването, поразяващо детския организъм, но и от последващите го нарушения във функциите на всички важни органи и системи. </w:t>
      </w:r>
    </w:p>
    <w:p>
      <w:pPr>
        <w:pStyle w:val="Normal"/>
        <w:spacing w:lineRule="auto" w:line="360"/>
        <w:ind w:firstLine="708"/>
        <w:jc w:val="both"/>
        <w:rPr>
          <w:sz w:val="28"/>
          <w:szCs w:val="28"/>
        </w:rPr>
      </w:pPr>
      <w:r>
        <w:rPr>
          <w:sz w:val="28"/>
          <w:szCs w:val="28"/>
        </w:rPr>
        <w:t>В продължение на много столетия гръбначните деформитети са се изучавали и обсъждали, предизвиквайки многобройни и противоречиви предположения на причините за възникването им. Но едва в последните години, благодарение на създадените експериментални модели тези деформитети и развитието на по-точни методи за изследване, стана възможно изучаването на етиологията и патогенезата на изкривяванията на гръбначния стълб. Натрупаните задълбочени клинико-рентгенологични и ортопедо-неврологични изследвания позволиха уточняването на диференциалната диагноза и изработването на показанията за лечение.</w:t>
      </w:r>
    </w:p>
    <w:p>
      <w:pPr>
        <w:pStyle w:val="Normal"/>
        <w:spacing w:lineRule="auto" w:line="360"/>
        <w:ind w:firstLine="708"/>
        <w:jc w:val="both"/>
        <w:rPr>
          <w:sz w:val="28"/>
          <w:szCs w:val="28"/>
        </w:rPr>
      </w:pPr>
      <w:r>
        <w:rPr>
          <w:sz w:val="28"/>
          <w:szCs w:val="28"/>
        </w:rPr>
        <w:t>В настоящето са известни многобройни литературни източници, които информират за постигната ефективност от хирургични, ортопедични и консервативни методи на лечение.</w:t>
      </w:r>
    </w:p>
    <w:p>
      <w:pPr>
        <w:pStyle w:val="Normal"/>
        <w:spacing w:lineRule="auto" w:line="360"/>
        <w:ind w:firstLine="708"/>
        <w:jc w:val="both"/>
        <w:rPr>
          <w:sz w:val="28"/>
          <w:szCs w:val="28"/>
        </w:rPr>
      </w:pPr>
      <w:r>
        <w:rPr>
          <w:sz w:val="28"/>
          <w:szCs w:val="28"/>
        </w:rPr>
        <w:t>В много от тях се посочва, че кинезитерапията е един от най-съществените компоненти в комплексната терапия на гръбначните деформитети.</w:t>
      </w:r>
      <w:r>
        <w:rPr>
          <w:sz w:val="28"/>
          <w:szCs w:val="28"/>
          <w:lang w:val="en-US"/>
        </w:rPr>
        <w:t xml:space="preserve"> </w:t>
      </w:r>
      <w:r>
        <w:rPr>
          <w:sz w:val="28"/>
          <w:szCs w:val="28"/>
        </w:rPr>
        <w:t>Нейният лечебен ефект се дължи на строго дозираните и системно прилагани физически натоварвания, които освен локално въздействие оказват благоприятно влияние върху целия детски организъм.</w:t>
      </w:r>
    </w:p>
    <w:p>
      <w:pPr>
        <w:pStyle w:val="PlainText"/>
        <w:spacing w:lineRule="auto" w:line="360"/>
        <w:jc w:val="both"/>
        <w:rPr/>
      </w:pPr>
      <w:r>
        <w:rPr>
          <w:rFonts w:cs="Times New Roman" w:ascii="Times New Roman" w:hAnsi="Times New Roman"/>
          <w:sz w:val="28"/>
          <w:szCs w:val="28"/>
        </w:rPr>
        <w:t>Кинезитерпевтичните мероприятия</w:t>
      </w:r>
      <w:r>
        <w:rPr>
          <w:rFonts w:cs="Times New Roman" w:ascii="Times New Roman" w:hAnsi="Times New Roman"/>
          <w:sz w:val="28"/>
          <w:szCs w:val="28"/>
          <w:lang w:val="ru-RU"/>
        </w:rPr>
        <w:t>, като част от общия лечебен процес на учениците с кифотична деформация предизвикват определени промени в дейността на нервно-мускулната и опорно-двигателната системи. Необходимо е да се подчертае, че изследванията върху тези промени все още са оскъдни и непълни.</w:t>
      </w:r>
    </w:p>
    <w:p>
      <w:pPr>
        <w:pStyle w:val="PlainText"/>
        <w:spacing w:lineRule="auto" w:line="360"/>
        <w:ind w:firstLine="708"/>
        <w:jc w:val="both"/>
        <w:rPr>
          <w:rFonts w:ascii="Times New Roman" w:hAnsi="Times New Roman" w:cs="Times New Roman"/>
          <w:sz w:val="28"/>
          <w:szCs w:val="28"/>
          <w:lang w:val="ru-RU"/>
        </w:rPr>
      </w:pPr>
      <w:r>
        <w:rPr>
          <w:rFonts w:cs="Times New Roman" w:ascii="Times New Roman" w:hAnsi="Times New Roman"/>
          <w:sz w:val="28"/>
          <w:szCs w:val="28"/>
          <w:lang w:val="ru-RU"/>
        </w:rPr>
        <w:t>Фрагментирано се споменава от някои автори за подоборени функции: на дишането, мускулната сила и общата подвижност на гръбначния стълб.</w:t>
      </w:r>
    </w:p>
    <w:p>
      <w:pPr>
        <w:pStyle w:val="PlainText"/>
        <w:spacing w:lineRule="auto" w:line="360"/>
        <w:ind w:firstLine="708"/>
        <w:jc w:val="both"/>
        <w:rPr>
          <w:rFonts w:ascii="Times New Roman" w:hAnsi="Times New Roman" w:cs="Times New Roman"/>
          <w:sz w:val="28"/>
          <w:szCs w:val="28"/>
          <w:lang w:val="ru-RU"/>
        </w:rPr>
      </w:pPr>
      <w:r>
        <w:rPr>
          <w:rFonts w:cs="Times New Roman" w:ascii="Times New Roman" w:hAnsi="Times New Roman"/>
          <w:sz w:val="28"/>
          <w:szCs w:val="28"/>
          <w:lang w:val="ru-RU"/>
        </w:rPr>
        <w:t>Липсват обективни данни за постигната корекция на деформацията във възможните граници. Недостатъчно изучаване на двигателната реактивност на гръбначния стълб на учениците с кифоза насочи вниманието ни към тази проблематика.</w:t>
      </w:r>
    </w:p>
    <w:p>
      <w:pPr>
        <w:pStyle w:val="PlainText"/>
        <w:spacing w:lineRule="auto" w:line="360"/>
        <w:ind w:firstLine="708"/>
        <w:jc w:val="both"/>
        <w:rPr/>
      </w:pPr>
      <w:r>
        <w:rPr>
          <w:rFonts w:cs="Times New Roman" w:ascii="Times New Roman" w:hAnsi="Times New Roman"/>
          <w:sz w:val="28"/>
          <w:szCs w:val="28"/>
          <w:lang w:val="ru-RU"/>
        </w:rPr>
        <w:t>В настоящата работа е направен опит за обобщаване възможностите за корекцшя н</w:t>
      </w:r>
      <w:r>
        <w:rPr>
          <w:rFonts w:cs="Times New Roman" w:ascii="Times New Roman" w:hAnsi="Times New Roman"/>
          <w:sz w:val="28"/>
          <w:szCs w:val="28"/>
        </w:rPr>
        <w:t>а</w:t>
      </w:r>
      <w:r>
        <w:rPr>
          <w:rFonts w:cs="Times New Roman" w:ascii="Times New Roman" w:hAnsi="Times New Roman"/>
          <w:sz w:val="28"/>
          <w:szCs w:val="28"/>
          <w:lang w:val="ru-RU"/>
        </w:rPr>
        <w:t xml:space="preserve"> кифотичната деформация под влияние на системни занимания с кинезитерапия.</w:t>
      </w:r>
    </w:p>
    <w:p>
      <w:pPr>
        <w:pStyle w:val="Normal"/>
        <w:spacing w:lineRule="auto" w:line="360"/>
        <w:ind w:left="360" w:hanging="0"/>
        <w:rPr>
          <w:rFonts w:ascii="Times New Roman" w:hAnsi="Times New Roman" w:cs="Times New Roman"/>
          <w:sz w:val="28"/>
          <w:szCs w:val="28"/>
          <w:lang w:val="ru-RU"/>
        </w:rPr>
      </w:pPr>
      <w:r>
        <w:rPr>
          <w:rFonts w:cs="Times New Roman"/>
          <w:sz w:val="28"/>
          <w:szCs w:val="28"/>
          <w:lang w:val="ru-RU"/>
        </w:rPr>
      </w:r>
    </w:p>
    <w:p>
      <w:pPr>
        <w:pStyle w:val="Normal"/>
        <w:spacing w:lineRule="auto" w:line="360"/>
        <w:ind w:left="360" w:hanging="0"/>
        <w:rPr>
          <w:sz w:val="28"/>
          <w:szCs w:val="28"/>
        </w:rPr>
      </w:pPr>
      <w:r>
        <w:rPr>
          <w:sz w:val="28"/>
          <w:szCs w:val="28"/>
        </w:rPr>
      </w:r>
    </w:p>
    <w:p>
      <w:pPr>
        <w:pStyle w:val="Normal"/>
        <w:spacing w:lineRule="auto" w:line="360"/>
        <w:ind w:left="360" w:hanging="0"/>
        <w:rPr>
          <w:sz w:val="28"/>
          <w:szCs w:val="28"/>
        </w:rPr>
      </w:pPr>
      <w:r>
        <w:rPr>
          <w:sz w:val="28"/>
          <w:szCs w:val="28"/>
        </w:rPr>
      </w:r>
    </w:p>
    <w:p>
      <w:pPr>
        <w:pStyle w:val="Normal"/>
        <w:spacing w:lineRule="auto" w:line="360"/>
        <w:ind w:left="360" w:hanging="0"/>
        <w:rPr/>
      </w:pPr>
      <w:r>
        <w:rPr/>
      </w:r>
    </w:p>
    <w:p>
      <w:pPr>
        <w:pStyle w:val="Normal"/>
        <w:spacing w:lineRule="auto" w:line="360"/>
        <w:ind w:left="360" w:hanging="0"/>
        <w:rPr/>
      </w:pPr>
      <w:r>
        <w:rPr/>
      </w:r>
    </w:p>
    <w:p>
      <w:pPr>
        <w:pStyle w:val="Normal"/>
        <w:spacing w:lineRule="auto" w:line="360"/>
        <w:ind w:left="360" w:hanging="0"/>
        <w:rPr/>
      </w:pPr>
      <w:r>
        <w:rPr/>
      </w:r>
    </w:p>
    <w:p>
      <w:pPr>
        <w:pStyle w:val="Normal"/>
        <w:spacing w:lineRule="auto" w:line="360"/>
        <w:ind w:left="360" w:hanging="0"/>
        <w:rPr/>
      </w:pPr>
      <w:r>
        <w:rPr/>
      </w:r>
    </w:p>
    <w:p>
      <w:pPr>
        <w:pStyle w:val="Normal"/>
        <w:spacing w:lineRule="auto" w:line="360"/>
        <w:ind w:left="360" w:hanging="0"/>
        <w:rPr/>
      </w:pPr>
      <w:r>
        <w:rPr/>
      </w:r>
    </w:p>
    <w:p>
      <w:pPr>
        <w:pStyle w:val="Normal"/>
        <w:spacing w:lineRule="auto" w:line="360"/>
        <w:ind w:left="360" w:hanging="0"/>
        <w:rPr/>
      </w:pPr>
      <w:r>
        <w:rPr/>
      </w:r>
    </w:p>
    <w:p>
      <w:pPr>
        <w:pStyle w:val="Normal"/>
        <w:spacing w:lineRule="auto" w:line="360"/>
        <w:ind w:left="360" w:hanging="0"/>
        <w:rPr/>
      </w:pPr>
      <w:r>
        <w:rPr/>
      </w:r>
    </w:p>
    <w:p>
      <w:pPr>
        <w:pStyle w:val="Normal"/>
        <w:spacing w:lineRule="auto" w:line="360"/>
        <w:ind w:left="360" w:hanging="0"/>
        <w:rPr/>
      </w:pPr>
      <w:r>
        <w:rPr/>
      </w:r>
    </w:p>
    <w:p>
      <w:pPr>
        <w:pStyle w:val="Normal"/>
        <w:spacing w:lineRule="auto" w:line="360"/>
        <w:rPr/>
      </w:pPr>
      <w:r>
        <w:rPr/>
      </w:r>
    </w:p>
    <w:p>
      <w:pPr>
        <w:pStyle w:val="Normal"/>
        <w:spacing w:lineRule="auto" w:line="360"/>
        <w:ind w:left="360" w:hanging="0"/>
        <w:rPr/>
      </w:pPr>
      <w:r>
        <w:rPr/>
      </w:r>
    </w:p>
    <w:p>
      <w:pPr>
        <w:pStyle w:val="Normal"/>
        <w:spacing w:lineRule="auto" w:line="360"/>
        <w:ind w:left="360" w:hanging="0"/>
        <w:rPr/>
      </w:pPr>
      <w:r>
        <w:rPr/>
      </w:r>
    </w:p>
    <w:p>
      <w:pPr>
        <w:pStyle w:val="Normal"/>
        <w:spacing w:lineRule="auto" w:line="360"/>
        <w:ind w:left="360" w:hanging="0"/>
        <w:rPr/>
      </w:pPr>
      <w:r>
        <w:rPr/>
      </w:r>
    </w:p>
    <w:p>
      <w:pPr>
        <w:pStyle w:val="Normal"/>
        <w:spacing w:lineRule="auto" w:line="360"/>
        <w:jc w:val="center"/>
        <w:rPr>
          <w:b/>
          <w:sz w:val="36"/>
          <w:szCs w:val="36"/>
          <w:u w:val="single"/>
        </w:rPr>
      </w:pPr>
      <w:r>
        <w:rPr>
          <w:b/>
          <w:sz w:val="36"/>
          <w:szCs w:val="36"/>
          <w:u w:val="single"/>
        </w:rPr>
        <w:t>ІІ. ЛИТЕРАТУРЕН ОБЗОР</w:t>
      </w:r>
    </w:p>
    <w:p>
      <w:pPr>
        <w:pStyle w:val="Normal"/>
        <w:spacing w:lineRule="auto" w:line="360"/>
        <w:jc w:val="center"/>
        <w:rPr>
          <w:b/>
          <w:sz w:val="36"/>
          <w:szCs w:val="36"/>
          <w:u w:val="single"/>
        </w:rPr>
      </w:pPr>
      <w:r>
        <w:rPr>
          <w:b/>
          <w:sz w:val="36"/>
          <w:szCs w:val="36"/>
          <w:u w:val="single"/>
        </w:rPr>
      </w:r>
    </w:p>
    <w:p>
      <w:pPr>
        <w:pStyle w:val="Normal"/>
        <w:numPr>
          <w:ilvl w:val="0"/>
          <w:numId w:val="14"/>
        </w:numPr>
        <w:spacing w:lineRule="auto" w:line="360"/>
        <w:jc w:val="center"/>
        <w:rPr>
          <w:b/>
          <w:sz w:val="32"/>
          <w:szCs w:val="32"/>
        </w:rPr>
      </w:pPr>
      <w:r>
        <w:rPr>
          <w:b/>
          <w:sz w:val="32"/>
          <w:szCs w:val="32"/>
        </w:rPr>
        <w:t xml:space="preserve">ФУНКЦИОНАЛНА АНАТОМИЯ НА ГРЪБНАЧЕН СТЪЛБ, ГРЪДЕН КОШ И ИШИОКРУРАЛНА МУСКУЛАТУРА </w:t>
      </w:r>
    </w:p>
    <w:p>
      <w:pPr>
        <w:pStyle w:val="Normal"/>
        <w:spacing w:lineRule="auto" w:line="360"/>
        <w:ind w:left="360" w:hanging="0"/>
        <w:rPr>
          <w:b/>
          <w:sz w:val="32"/>
          <w:szCs w:val="32"/>
        </w:rPr>
      </w:pPr>
      <w:r>
        <w:rPr>
          <w:b/>
          <w:sz w:val="32"/>
          <w:szCs w:val="32"/>
        </w:rPr>
      </w:r>
    </w:p>
    <w:p>
      <w:pPr>
        <w:pStyle w:val="Normal"/>
        <w:numPr>
          <w:ilvl w:val="1"/>
          <w:numId w:val="14"/>
        </w:numPr>
        <w:spacing w:lineRule="auto" w:line="360"/>
        <w:jc w:val="both"/>
        <w:rPr>
          <w:b/>
          <w:sz w:val="28"/>
          <w:szCs w:val="28"/>
        </w:rPr>
      </w:pPr>
      <w:r>
        <w:rPr>
          <w:b/>
          <w:sz w:val="28"/>
          <w:szCs w:val="28"/>
        </w:rPr>
        <w:t>Функционална анатомия на гръбначен стълб</w:t>
      </w:r>
    </w:p>
    <w:p>
      <w:pPr>
        <w:pStyle w:val="Normal"/>
        <w:spacing w:lineRule="auto" w:line="360"/>
        <w:jc w:val="both"/>
        <w:rPr>
          <w:b/>
          <w:sz w:val="28"/>
          <w:szCs w:val="28"/>
        </w:rPr>
      </w:pPr>
      <w:r>
        <w:rPr>
          <w:b/>
          <w:sz w:val="28"/>
          <w:szCs w:val="28"/>
        </w:rPr>
      </w:r>
    </w:p>
    <w:p>
      <w:pPr>
        <w:pStyle w:val="BodyText2"/>
        <w:spacing w:lineRule="auto" w:line="360"/>
        <w:ind w:firstLine="720"/>
        <w:jc w:val="both"/>
        <w:rPr>
          <w:b/>
          <w:sz w:val="28"/>
          <w:szCs w:val="28"/>
        </w:rPr>
      </w:pPr>
      <w:r>
        <w:rPr>
          <w:sz w:val="28"/>
          <w:szCs w:val="28"/>
        </w:rPr>
        <w:t xml:space="preserve">Човешкият </w:t>
      </w:r>
      <w:r>
        <w:rPr>
          <w:b/>
          <w:sz w:val="28"/>
          <w:szCs w:val="28"/>
        </w:rPr>
        <w:t>гръбначен стълб</w:t>
      </w:r>
      <w:r>
        <w:rPr>
          <w:sz w:val="28"/>
          <w:szCs w:val="28"/>
        </w:rPr>
        <w:t xml:space="preserve"> е сегментен орган, който има изключително сложна анатомия и изпълнява важни функции – опорна, двигателна и защитна. Той е главната опора на тялото, а поради сегментната си структура осигурява голяма свобода на движенията и представлява добра защита на гръбначния мозък. От чисто функционална гледна точка е полезно гръбначния стълб да се раздели така :  </w:t>
      </w:r>
    </w:p>
    <w:p>
      <w:pPr>
        <w:pStyle w:val="Normal"/>
        <w:numPr>
          <w:ilvl w:val="0"/>
          <w:numId w:val="10"/>
        </w:numPr>
        <w:spacing w:lineRule="auto" w:line="360"/>
        <w:jc w:val="both"/>
        <w:rPr>
          <w:sz w:val="28"/>
        </w:rPr>
      </w:pPr>
      <w:r>
        <w:rPr>
          <w:sz w:val="28"/>
        </w:rPr>
        <w:t>Предна колона – включва предния надлъжен лигамент .</w:t>
      </w:r>
    </w:p>
    <w:p>
      <w:pPr>
        <w:pStyle w:val="Normal"/>
        <w:numPr>
          <w:ilvl w:val="0"/>
          <w:numId w:val="10"/>
        </w:numPr>
        <w:spacing w:lineRule="auto" w:line="360"/>
        <w:jc w:val="both"/>
        <w:rPr>
          <w:sz w:val="28"/>
        </w:rPr>
      </w:pPr>
      <w:r>
        <w:rPr>
          <w:sz w:val="28"/>
        </w:rPr>
        <w:t>Задна колона – прешленни дъги с бодилестите, напречните и ставните израстъци, коренчетата на дъгите.</w:t>
      </w:r>
    </w:p>
    <w:p>
      <w:pPr>
        <w:pStyle w:val="Normal"/>
        <w:numPr>
          <w:ilvl w:val="0"/>
          <w:numId w:val="10"/>
        </w:numPr>
        <w:spacing w:lineRule="auto" w:line="360"/>
        <w:jc w:val="both"/>
        <w:rPr>
          <w:sz w:val="28"/>
        </w:rPr>
      </w:pPr>
      <w:r>
        <w:rPr>
          <w:sz w:val="28"/>
        </w:rPr>
        <w:t>Връзков апарат -  ставни капсули на интервертебралните стави, жълтия лигамент, интертрансверзалните, интерспиналните и супраспиналните връзки.</w:t>
      </w:r>
    </w:p>
    <w:p>
      <w:pPr>
        <w:pStyle w:val="Normal"/>
        <w:spacing w:lineRule="auto" w:line="360"/>
        <w:ind w:firstLine="720"/>
        <w:jc w:val="both"/>
        <w:rPr>
          <w:sz w:val="28"/>
        </w:rPr>
      </w:pPr>
      <w:r>
        <w:rPr>
          <w:sz w:val="28"/>
        </w:rPr>
        <w:t xml:space="preserve">Всеки елемент от гръбначния стълб има определена функция за осигуряване на стабилността и подвижността му. Особено важна роля играе “подвижният сегмент“, който се намира между отделните прешлени и се състои от интервертебрален диск, интервертебрални стави и връзков апарат. </w:t>
      </w:r>
    </w:p>
    <w:p>
      <w:pPr>
        <w:pStyle w:val="Normal"/>
        <w:spacing w:lineRule="auto" w:line="360"/>
        <w:ind w:firstLine="720"/>
        <w:jc w:val="both"/>
        <w:rPr>
          <w:sz w:val="28"/>
        </w:rPr>
      </w:pPr>
      <w:r>
        <w:rPr>
          <w:sz w:val="28"/>
        </w:rPr>
        <w:t xml:space="preserve">Интервертебрален диск – най-важният елемент на “подвижния сегмент”. Той се състои от: </w:t>
      </w:r>
      <w:r>
        <w:rPr>
          <w:b/>
          <w:sz w:val="28"/>
        </w:rPr>
        <w:t>nucleus pulposus</w:t>
      </w:r>
      <w:r>
        <w:rPr>
          <w:sz w:val="28"/>
        </w:rPr>
        <w:t xml:space="preserve">, </w:t>
      </w:r>
      <w:r>
        <w:rPr>
          <w:b/>
          <w:sz w:val="28"/>
        </w:rPr>
        <w:t>anulus fibrosus</w:t>
      </w:r>
      <w:r>
        <w:rPr>
          <w:sz w:val="28"/>
        </w:rPr>
        <w:t xml:space="preserve"> и хрущялни плочки. </w:t>
      </w:r>
    </w:p>
    <w:p>
      <w:pPr>
        <w:pStyle w:val="Normal"/>
        <w:spacing w:lineRule="auto" w:line="360"/>
        <w:ind w:firstLine="720"/>
        <w:jc w:val="both"/>
        <w:rPr>
          <w:sz w:val="28"/>
        </w:rPr>
      </w:pPr>
      <w:r>
        <w:rPr>
          <w:sz w:val="28"/>
        </w:rPr>
        <w:t>Човешкият гръбначен стълб съдържа 24 подвижни сегмента, а сегментите между окципиталната кост и атласа, както и между атласа и аксиса не съдържат междупрешленни дискове.</w:t>
      </w:r>
    </w:p>
    <w:p>
      <w:pPr>
        <w:pStyle w:val="Normal"/>
        <w:spacing w:lineRule="auto" w:line="360"/>
        <w:ind w:firstLine="720"/>
        <w:jc w:val="both"/>
        <w:rPr>
          <w:sz w:val="28"/>
        </w:rPr>
      </w:pPr>
      <w:r>
        <w:rPr>
          <w:sz w:val="28"/>
        </w:rPr>
        <w:t>Хрущялните плочки – състоят се от хиалинен хрущял и се свързват с крайните пластинки на прешленните тела чрез костен слой, притежаващ фини пори. През тях преминават хранителните вещества за дисковете, които нямат собствена съдова система.</w:t>
      </w:r>
    </w:p>
    <w:p>
      <w:pPr>
        <w:pStyle w:val="Normal"/>
        <w:spacing w:lineRule="auto" w:line="360"/>
        <w:ind w:firstLine="720"/>
        <w:jc w:val="both"/>
        <w:rPr>
          <w:sz w:val="28"/>
        </w:rPr>
      </w:pPr>
      <w:r>
        <w:rPr>
          <w:b/>
          <w:sz w:val="28"/>
        </w:rPr>
        <w:t>Anulus fibrosus</w:t>
      </w:r>
      <w:r>
        <w:rPr>
          <w:sz w:val="28"/>
        </w:rPr>
        <w:t xml:space="preserve"> – изграден е от влакна, които се простират между съседните прешлени и имат спираловидна оплетка. Те здраво свързват диска с ринговата апофиза на прешленните тела. Фиброзният пръстен е по-дебел и по-издръжлив отпред и отстрани отколкото отзад. Тази анатомична особеност има важно значение за статиката на “подвижният сегмент“.</w:t>
      </w:r>
    </w:p>
    <w:p>
      <w:pPr>
        <w:pStyle w:val="Normal"/>
        <w:spacing w:lineRule="auto" w:line="360"/>
        <w:ind w:firstLine="720"/>
        <w:jc w:val="both"/>
        <w:rPr>
          <w:sz w:val="28"/>
        </w:rPr>
      </w:pPr>
      <w:r>
        <w:rPr>
          <w:b/>
          <w:sz w:val="28"/>
        </w:rPr>
        <w:t>Nucleus pulposus</w:t>
      </w:r>
      <w:r>
        <w:rPr>
          <w:sz w:val="28"/>
        </w:rPr>
        <w:t xml:space="preserve"> е образуван от остатъци на ембрионалната нотохорда и затова при неутрална позиция на гръбначния стълб се разполага по-назад в напречника на интервертебралния диск. В него се откриват ретикуларни връзки и везикуларни нотохондрални клетки.</w:t>
      </w:r>
    </w:p>
    <w:p>
      <w:pPr>
        <w:pStyle w:val="Normal"/>
        <w:spacing w:lineRule="auto" w:line="360"/>
        <w:ind w:firstLine="720"/>
        <w:jc w:val="both"/>
        <w:rPr>
          <w:sz w:val="28"/>
        </w:rPr>
      </w:pPr>
      <w:r>
        <w:rPr>
          <w:sz w:val="28"/>
        </w:rPr>
        <w:t xml:space="preserve">Телата на гръдните прешлени са по-големи в  сравнение с шийните – предно-задният им диаметър е по-голям, а странично те са по-тесни. Дъгите имат по-големи спинозни и напречни израстъци. Наклонът на ставните израстъци спрямо хоризонталната равнина е още по-голям. Въпреки, че движенията в сагиталната равнина са доста по-ограничени, интересно е да се отбележи, че при по-млади хора са възможни малък обем ротационни движения. Страничен наклон в гръдните прешлени от </w:t>
      </w:r>
      <w:r>
        <w:rPr>
          <w:sz w:val="28"/>
          <w:lang w:val="en-US"/>
        </w:rPr>
        <w:t>Th1</w:t>
      </w:r>
      <w:r>
        <w:rPr>
          <w:sz w:val="28"/>
        </w:rPr>
        <w:t xml:space="preserve"> до </w:t>
      </w:r>
      <w:r>
        <w:rPr>
          <w:sz w:val="28"/>
          <w:lang w:val="en-US"/>
        </w:rPr>
        <w:t>Th9 е почти невъзможен. Тази сравнително по</w:t>
      </w:r>
      <w:r>
        <w:rPr>
          <w:sz w:val="28"/>
        </w:rPr>
        <w:t>-</w:t>
      </w:r>
      <w:r>
        <w:rPr>
          <w:sz w:val="28"/>
          <w:lang w:val="en-US"/>
        </w:rPr>
        <w:t>малка подвижност на гръдният отдел се обяснява с една важна функционална и анатомична особеност на този отдел – на</w:t>
      </w:r>
      <w:r>
        <w:rPr>
          <w:sz w:val="28"/>
        </w:rPr>
        <w:t>л</w:t>
      </w:r>
      <w:r>
        <w:rPr>
          <w:sz w:val="28"/>
          <w:lang w:val="en-US"/>
        </w:rPr>
        <w:t>ичието на ребрено</w:t>
      </w:r>
      <w:r>
        <w:rPr>
          <w:sz w:val="28"/>
        </w:rPr>
        <w:t>-</w:t>
      </w:r>
      <w:r>
        <w:rPr>
          <w:sz w:val="28"/>
          <w:lang w:val="en-US"/>
        </w:rPr>
        <w:t>прешленните и ребрено</w:t>
      </w:r>
      <w:r>
        <w:rPr>
          <w:sz w:val="28"/>
        </w:rPr>
        <w:t>-</w:t>
      </w:r>
      <w:r>
        <w:rPr>
          <w:sz w:val="28"/>
          <w:lang w:val="en-US"/>
        </w:rPr>
        <w:t>напречните съчленения между ребрата и прешлените. Тъй като проксималните десет ребра имат връзка с гръдната кост отпред, се получава още една фиксираща точка и затова в по</w:t>
      </w:r>
      <w:r>
        <w:rPr>
          <w:sz w:val="28"/>
        </w:rPr>
        <w:t>-</w:t>
      </w:r>
      <w:r>
        <w:rPr>
          <w:sz w:val="28"/>
          <w:lang w:val="en-US"/>
        </w:rPr>
        <w:t>горните гръдни прешлени движенията са по</w:t>
      </w:r>
      <w:r>
        <w:rPr>
          <w:sz w:val="28"/>
        </w:rPr>
        <w:t>-</w:t>
      </w:r>
      <w:r>
        <w:rPr>
          <w:sz w:val="28"/>
          <w:lang w:val="en-US"/>
        </w:rPr>
        <w:t>ограничени, а дистално се увеличават, докато ротационните движения се изменят по обем в обратна посока. Една от причините подвижността да се увеличава в долната част на гръдни</w:t>
      </w:r>
      <w:r>
        <w:rPr>
          <w:sz w:val="28"/>
        </w:rPr>
        <w:t>я</w:t>
      </w:r>
      <w:r>
        <w:rPr>
          <w:sz w:val="28"/>
          <w:lang w:val="en-US"/>
        </w:rPr>
        <w:t xml:space="preserve"> отдел е фактът, че последните две ребра са свободни (плаващи). Освен това телата на долните гръдни прешлени стават по</w:t>
      </w:r>
      <w:r>
        <w:rPr>
          <w:sz w:val="28"/>
        </w:rPr>
        <w:t>-</w:t>
      </w:r>
      <w:r>
        <w:rPr>
          <w:sz w:val="28"/>
          <w:lang w:val="en-US"/>
        </w:rPr>
        <w:t>масивни и наклонът на ставните израстъци става подобен на този при поясните прешлени – все по</w:t>
      </w:r>
      <w:r>
        <w:rPr>
          <w:sz w:val="28"/>
        </w:rPr>
        <w:t>-</w:t>
      </w:r>
      <w:r>
        <w:rPr>
          <w:sz w:val="28"/>
          <w:lang w:val="en-US"/>
        </w:rPr>
        <w:t>вертикално изправени и все по</w:t>
      </w:r>
      <w:r>
        <w:rPr>
          <w:sz w:val="28"/>
        </w:rPr>
        <w:t>-</w:t>
      </w:r>
      <w:r>
        <w:rPr>
          <w:sz w:val="28"/>
          <w:lang w:val="en-US"/>
        </w:rPr>
        <w:t>клонящи към сагитално разположение. Затова движенията дистално стават по-свободни, както в сагиталната, така и във фронталната равнина. Ротационните движения обаче остават твърде ограничени. Прешленните дъги на гръдните прешлени имат здрави връзки – това са жълтите, интерспиналните и супраспиналните лигаменти.</w:t>
      </w:r>
    </w:p>
    <w:p>
      <w:pPr>
        <w:pStyle w:val="Normal"/>
        <w:spacing w:lineRule="auto" w:line="360"/>
        <w:jc w:val="both"/>
        <w:rPr>
          <w:sz w:val="28"/>
        </w:rPr>
      </w:pPr>
      <w:r>
        <w:rPr>
          <w:sz w:val="28"/>
          <w:lang w:val="en-US"/>
        </w:rPr>
        <w:tab/>
        <w:t>Гръбначният стълб, който във филогенетичното развитие се е преобразувал за нуждите на изправения стоеж и двуногото ходене, е основната опора, но и основният лост за придвижване. Това изисква сложна биомеханика, включваща насочени натоварвания в динамично и статично положение.</w:t>
      </w:r>
    </w:p>
    <w:p>
      <w:pPr>
        <w:pStyle w:val="Normal"/>
        <w:spacing w:lineRule="auto" w:line="360"/>
        <w:jc w:val="both"/>
        <w:rPr>
          <w:sz w:val="28"/>
        </w:rPr>
      </w:pPr>
      <w:r>
        <w:rPr>
          <w:sz w:val="28"/>
          <w:lang w:val="en-US"/>
        </w:rPr>
        <w:tab/>
        <w:t xml:space="preserve">Първите изследвания върху биомеханиката на гръбначния стълб със съвременен характер са на </w:t>
      </w:r>
      <w:r>
        <w:rPr>
          <w:b/>
          <w:sz w:val="28"/>
          <w:lang w:val="en-US"/>
        </w:rPr>
        <w:t>Virchow</w:t>
      </w:r>
      <w:r>
        <w:rPr>
          <w:sz w:val="28"/>
        </w:rPr>
        <w:t xml:space="preserve">, който проучва физиологичните извивки в сагиталната равнина в покой и движение. По-късно </w:t>
      </w:r>
      <w:r>
        <w:rPr>
          <w:b/>
          <w:sz w:val="28"/>
          <w:lang w:val="en-US"/>
        </w:rPr>
        <w:t>Rockwell</w:t>
      </w:r>
      <w:r>
        <w:rPr>
          <w:sz w:val="28"/>
          <w:lang w:val="en-US"/>
        </w:rPr>
        <w:t xml:space="preserve"> </w:t>
      </w:r>
      <w:r>
        <w:rPr>
          <w:sz w:val="28"/>
        </w:rPr>
        <w:t xml:space="preserve">и сътрудници публикуват студия върху сравнителната морфология на гръбначния стълб, като изследват неговата форма във връзка с функциите му. Следващите класически работи на </w:t>
      </w:r>
      <w:r>
        <w:rPr>
          <w:sz w:val="28"/>
          <w:lang w:val="en-US"/>
        </w:rPr>
        <w:t xml:space="preserve"> </w:t>
      </w:r>
      <w:r>
        <w:rPr>
          <w:b/>
          <w:sz w:val="28"/>
          <w:lang w:val="en-US"/>
        </w:rPr>
        <w:t>Böhler, Nicoll, Lob, Roaf, Holdsworth, Roy – Camille</w:t>
      </w:r>
      <w:r>
        <w:rPr>
          <w:sz w:val="28"/>
          <w:lang w:val="en-US"/>
        </w:rPr>
        <w:t xml:space="preserve"> </w:t>
      </w:r>
      <w:r>
        <w:rPr>
          <w:sz w:val="28"/>
        </w:rPr>
        <w:t xml:space="preserve">и сътрудници съдържат важни схващания за биомеханиката на гръбначния стълб. Изследването на “подвижния сегмент“ включващ интервертебралния диск и връзковия апарат е крайъгълен камък в процеса на тези проучвания. </w:t>
      </w:r>
      <w:r>
        <w:rPr>
          <w:b/>
          <w:sz w:val="28"/>
          <w:lang w:val="en-US"/>
        </w:rPr>
        <w:t>Whitesides</w:t>
      </w:r>
      <w:r>
        <w:rPr>
          <w:sz w:val="28"/>
          <w:lang w:val="en-US"/>
        </w:rPr>
        <w:t xml:space="preserve"> </w:t>
      </w:r>
      <w:r>
        <w:rPr>
          <w:sz w:val="28"/>
        </w:rPr>
        <w:t>провежда биомеханични проучвания разглеждайки предните костни структури (прешленните тела), като приспособени да поемат главно натисково натоварване, а задните елементи (интервертебралните стави и лигаменти) заедно с мускулната система, като уравновесяващи, поемайки опънните напрежения. Той сравнява тази двуколонна система с конструкцията на строителен кран, стрела и обтяжни въжета.</w:t>
      </w:r>
    </w:p>
    <w:p>
      <w:pPr>
        <w:pStyle w:val="Normal"/>
        <w:spacing w:lineRule="auto" w:line="360"/>
        <w:ind w:firstLine="720"/>
        <w:jc w:val="both"/>
        <w:rPr>
          <w:sz w:val="28"/>
        </w:rPr>
      </w:pPr>
      <w:r>
        <w:rPr>
          <w:b/>
          <w:sz w:val="28"/>
          <w:lang w:val="en-US"/>
        </w:rPr>
        <w:t xml:space="preserve">White </w:t>
      </w:r>
      <w:r>
        <w:rPr>
          <w:sz w:val="28"/>
          <w:lang w:val="en-US"/>
        </w:rPr>
        <w:t xml:space="preserve">и </w:t>
      </w:r>
      <w:r>
        <w:rPr>
          <w:b/>
          <w:sz w:val="28"/>
          <w:lang w:val="en-US"/>
        </w:rPr>
        <w:t xml:space="preserve">Panjabi </w:t>
      </w:r>
      <w:r>
        <w:rPr>
          <w:sz w:val="28"/>
          <w:lang w:val="en-US"/>
        </w:rPr>
        <w:t>дефинират основната функционална ед</w:t>
      </w:r>
      <w:r>
        <w:rPr>
          <w:sz w:val="28"/>
        </w:rPr>
        <w:t>и</w:t>
      </w:r>
      <w:r>
        <w:rPr>
          <w:sz w:val="28"/>
          <w:lang w:val="en-US"/>
        </w:rPr>
        <w:t>ница на гръбначния стълб. Това е движещия се сегмент, който включва две съседни прешленни тела, интервертебралния диск, интервертебралните стави и всички лигаментарни структури. При нормално състояние функционалната гръбначна единица е подложена на различни вътрешни и външни сили на натоварване, които имат както статичен, така и динамичен характер. Подвижността на гръбначния стълб включва 6 степени свобода на движение, а силите които се прилагат върху него м</w:t>
      </w:r>
      <w:r>
        <w:rPr>
          <w:sz w:val="28"/>
        </w:rPr>
        <w:t>о</w:t>
      </w:r>
      <w:r>
        <w:rPr>
          <w:sz w:val="28"/>
          <w:lang w:val="en-US"/>
        </w:rPr>
        <w:t xml:space="preserve">гат да бъдат </w:t>
      </w:r>
      <w:r>
        <w:rPr>
          <w:sz w:val="28"/>
        </w:rPr>
        <w:t>в</w:t>
      </w:r>
      <w:r>
        <w:rPr>
          <w:sz w:val="28"/>
          <w:lang w:val="en-US"/>
        </w:rPr>
        <w:t xml:space="preserve"> различни посоки – натиск, опън, усукване</w:t>
      </w:r>
      <w:r>
        <w:rPr>
          <w:sz w:val="28"/>
        </w:rPr>
        <w:t>,</w:t>
      </w:r>
      <w:r>
        <w:rPr>
          <w:sz w:val="28"/>
          <w:lang w:val="en-US"/>
        </w:rPr>
        <w:t xml:space="preserve"> срязване или комбинация между</w:t>
      </w:r>
      <w:r>
        <w:rPr>
          <w:sz w:val="28"/>
        </w:rPr>
        <w:t xml:space="preserve"> </w:t>
      </w:r>
      <w:r>
        <w:rPr>
          <w:sz w:val="28"/>
          <w:lang w:val="en-US"/>
        </w:rPr>
        <w:t>тях.</w:t>
      </w:r>
      <w:r>
        <w:rPr>
          <w:sz w:val="28"/>
        </w:rPr>
        <w:t xml:space="preserve"> </w:t>
      </w:r>
      <w:r>
        <w:rPr>
          <w:sz w:val="28"/>
          <w:lang w:val="en-US"/>
        </w:rPr>
        <w:t xml:space="preserve">Разбирането на физиологичната и патологичната характеристика на гръбначната биомеханика е ключ към правилната интерпретация на патогенезата на гръбначните </w:t>
      </w:r>
      <w:r>
        <w:rPr>
          <w:sz w:val="28"/>
        </w:rPr>
        <w:t>деформации</w:t>
      </w:r>
      <w:r>
        <w:rPr>
          <w:sz w:val="28"/>
          <w:lang w:val="en-US"/>
        </w:rPr>
        <w:t>. Основния момент в тази материя е проблемът за стабилността на гръбначния стълб. През 1977г.</w:t>
      </w:r>
      <w:r>
        <w:rPr>
          <w:sz w:val="28"/>
        </w:rPr>
        <w:t xml:space="preserve"> </w:t>
      </w:r>
      <w:r>
        <w:rPr>
          <w:b/>
          <w:sz w:val="28"/>
          <w:lang w:val="en-US"/>
        </w:rPr>
        <w:t>Whitesides</w:t>
      </w:r>
      <w:r>
        <w:rPr>
          <w:sz w:val="28"/>
          <w:lang w:val="en-US"/>
        </w:rPr>
        <w:t xml:space="preserve"> формулира една практическа дефиниция на гръбначната стабилност: гръбнакът е стабилен, когато може да издържи нормалните сили на натоварване без да се деформира прогресивно и без да се получат допълнителни неврологични увреди. Стабилността на гръбнака зависи на първо място от здравината на функционалната гръбначна единица, от състоянието на паравертебралната мускулатура и гръдно</w:t>
      </w:r>
      <w:r>
        <w:rPr>
          <w:sz w:val="28"/>
        </w:rPr>
        <w:t>-</w:t>
      </w:r>
      <w:r>
        <w:rPr>
          <w:sz w:val="28"/>
          <w:lang w:val="en-US"/>
        </w:rPr>
        <w:t>поясната фасция, налягането в коремната и гръдна кухини, целостта на гръдния кош и ребрата и др. Гръбначната нестабилност от своя страна е загубата на способността на гръбначния стълб при физиологични условия да поддържа взаимоотношенията между прешлените по такъв начин, че да не се получи неврологична увреда на гръбначния мозък или неговите коренчета, нито развитие на инвалидизираща деформация или болков синдром поради структурни промени. При травма явлението нестабилност може да настъпи остро, а при нестабилизиран след травмата гръбначен стълб или в резултат на възпалителен, туморен или дегенеративен процес, може да има хронично развитие.</w:t>
      </w:r>
    </w:p>
    <w:p>
      <w:pPr>
        <w:pStyle w:val="Normal"/>
        <w:spacing w:lineRule="auto" w:line="360"/>
        <w:jc w:val="both"/>
        <w:rPr>
          <w:sz w:val="28"/>
        </w:rPr>
      </w:pPr>
      <w:r>
        <w:rPr>
          <w:sz w:val="28"/>
          <w:lang w:val="en-US"/>
        </w:rPr>
        <w:tab/>
        <w:t xml:space="preserve">Върху изброените теоретични постановки  </w:t>
      </w:r>
      <w:r>
        <w:rPr>
          <w:b/>
          <w:sz w:val="28"/>
          <w:lang w:val="en-US"/>
        </w:rPr>
        <w:t>Denis</w:t>
      </w:r>
      <w:r>
        <w:rPr>
          <w:b/>
          <w:sz w:val="28"/>
        </w:rPr>
        <w:t xml:space="preserve"> </w:t>
      </w:r>
      <w:r>
        <w:rPr>
          <w:sz w:val="28"/>
          <w:lang w:val="en-US"/>
        </w:rPr>
        <w:t xml:space="preserve">и </w:t>
      </w:r>
      <w:r>
        <w:rPr>
          <w:b/>
          <w:sz w:val="28"/>
          <w:lang w:val="en-US"/>
        </w:rPr>
        <w:t>McAfee</w:t>
      </w:r>
      <w:r>
        <w:rPr>
          <w:sz w:val="28"/>
          <w:lang w:val="en-US"/>
        </w:rPr>
        <w:t xml:space="preserve"> и сътру</w:t>
      </w:r>
      <w:r>
        <w:rPr>
          <w:sz w:val="28"/>
        </w:rPr>
        <w:t>д</w:t>
      </w:r>
      <w:r>
        <w:rPr>
          <w:sz w:val="28"/>
          <w:lang w:val="en-US"/>
        </w:rPr>
        <w:t xml:space="preserve">ници изграждат триколонната концепция за стабилността на функционалната гръбначна единица. Така двуколонната система се заменя от “триколонния“ модел, който се приема днес от повечето автори. </w:t>
      </w:r>
    </w:p>
    <w:p>
      <w:pPr>
        <w:pStyle w:val="Normal"/>
        <w:spacing w:lineRule="auto" w:line="360"/>
        <w:jc w:val="both"/>
        <w:rPr>
          <w:sz w:val="28"/>
        </w:rPr>
      </w:pPr>
      <w:r>
        <w:rPr>
          <w:sz w:val="28"/>
        </w:rPr>
        <w:tab/>
        <w:t xml:space="preserve">В сагитален план </w:t>
      </w:r>
      <w:r>
        <w:rPr>
          <w:b/>
          <w:sz w:val="28"/>
          <w:lang w:val="en-US"/>
        </w:rPr>
        <w:t>Denis</w:t>
      </w:r>
      <w:r>
        <w:rPr>
          <w:sz w:val="28"/>
          <w:lang w:val="en-US"/>
        </w:rPr>
        <w:t xml:space="preserve"> различава следните три колони :</w:t>
      </w:r>
    </w:p>
    <w:p>
      <w:pPr>
        <w:pStyle w:val="Normal"/>
        <w:numPr>
          <w:ilvl w:val="0"/>
          <w:numId w:val="13"/>
        </w:numPr>
        <w:spacing w:lineRule="auto" w:line="360"/>
        <w:jc w:val="both"/>
        <w:rPr>
          <w:sz w:val="28"/>
          <w:lang w:val="en-US"/>
        </w:rPr>
      </w:pPr>
      <w:r>
        <w:rPr>
          <w:sz w:val="28"/>
          <w:lang w:val="en-US"/>
        </w:rPr>
        <w:t>Предна – включва предната част на прешленнот</w:t>
      </w:r>
      <w:r>
        <w:rPr>
          <w:sz w:val="28"/>
        </w:rPr>
        <w:t>о</w:t>
      </w:r>
      <w:r>
        <w:rPr>
          <w:sz w:val="28"/>
          <w:lang w:val="en-US"/>
        </w:rPr>
        <w:t xml:space="preserve"> тяло и прилежащия интервертебрален диск и предната надлъжна връзка.</w:t>
      </w:r>
    </w:p>
    <w:p>
      <w:pPr>
        <w:pStyle w:val="Normal"/>
        <w:numPr>
          <w:ilvl w:val="0"/>
          <w:numId w:val="13"/>
        </w:numPr>
        <w:spacing w:lineRule="auto" w:line="360"/>
        <w:jc w:val="both"/>
        <w:rPr>
          <w:sz w:val="28"/>
        </w:rPr>
      </w:pPr>
      <w:r>
        <w:rPr>
          <w:sz w:val="28"/>
        </w:rPr>
        <w:t>Средна – състои се от задната част на прешленното тяло и диска, задна надлъжна връзка.</w:t>
      </w:r>
    </w:p>
    <w:p>
      <w:pPr>
        <w:pStyle w:val="Normal"/>
        <w:numPr>
          <w:ilvl w:val="0"/>
          <w:numId w:val="13"/>
        </w:numPr>
        <w:spacing w:lineRule="auto" w:line="360"/>
        <w:jc w:val="both"/>
        <w:rPr>
          <w:sz w:val="28"/>
        </w:rPr>
      </w:pPr>
      <w:r>
        <w:rPr>
          <w:sz w:val="28"/>
        </w:rPr>
        <w:t>Задна – заден лигаментарен комплекс.</w:t>
      </w:r>
    </w:p>
    <w:p>
      <w:pPr>
        <w:pStyle w:val="Normal"/>
        <w:spacing w:lineRule="auto" w:line="360"/>
        <w:ind w:firstLine="708"/>
        <w:jc w:val="both"/>
        <w:rPr>
          <w:sz w:val="28"/>
        </w:rPr>
      </w:pPr>
      <w:r>
        <w:rPr>
          <w:sz w:val="28"/>
        </w:rPr>
        <w:t>Разрушаването на две от колоните или на всичките колони води до съответното нарушаване на стабилността в една или всички посоки.</w:t>
      </w:r>
    </w:p>
    <w:p>
      <w:pPr>
        <w:pStyle w:val="PlainText"/>
        <w:numPr>
          <w:ilvl w:val="0"/>
          <w:numId w:val="3"/>
        </w:numPr>
        <w:spacing w:lineRule="auto" w:line="360"/>
        <w:jc w:val="both"/>
        <w:rPr>
          <w:rFonts w:ascii="Times New Roman" w:hAnsi="Times New Roman" w:cs="Times New Roman"/>
          <w:b/>
          <w:sz w:val="28"/>
          <w:szCs w:val="28"/>
          <w:lang w:val="ru-RU"/>
        </w:rPr>
      </w:pPr>
      <w:r>
        <w:rPr>
          <w:rFonts w:cs="Times New Roman" w:ascii="Times New Roman" w:hAnsi="Times New Roman"/>
          <w:b/>
          <w:sz w:val="28"/>
          <w:szCs w:val="28"/>
          <w:lang w:val="ru-RU"/>
        </w:rPr>
        <w:t>2. Функционална анатомия на гръдния кош</w:t>
      </w:r>
    </w:p>
    <w:p>
      <w:pPr>
        <w:pStyle w:val="PlainText"/>
        <w:spacing w:lineRule="auto" w:line="360"/>
        <w:ind w:first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Гръдният кош загражда гръдната кухина, в която са разположени редица важни органи:  белият дроб, сърцето, аорта, хранопровод, и др. </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Нормално той има форма на пресечен конус сплеснат в предно-задна посока.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Изграден е от гръдната част на гръбначния стълб, 12 чифта ребра и от гръдната кост.</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Гръдната кост (</w:t>
      </w:r>
      <w:r>
        <w:rPr>
          <w:rFonts w:cs="Times New Roman" w:ascii="Times New Roman" w:hAnsi="Times New Roman"/>
          <w:b/>
          <w:sz w:val="28"/>
          <w:szCs w:val="28"/>
          <w:lang w:val="en-US"/>
        </w:rPr>
        <w:t xml:space="preserve">sternum </w:t>
      </w:r>
      <w:r>
        <w:rPr>
          <w:rFonts w:cs="Times New Roman" w:ascii="Times New Roman" w:hAnsi="Times New Roman"/>
          <w:sz w:val="28"/>
          <w:szCs w:val="28"/>
          <w:lang w:val="ru-RU"/>
        </w:rPr>
        <w:t>) се разполага в предната част на гръдния кош. Тя е плоска кост състояща се от три дяла : дръжка (</w:t>
      </w:r>
      <w:r>
        <w:rPr>
          <w:rFonts w:cs="Times New Roman" w:ascii="Times New Roman" w:hAnsi="Times New Roman"/>
          <w:b/>
          <w:sz w:val="28"/>
          <w:szCs w:val="28"/>
          <w:lang w:val="en-US"/>
        </w:rPr>
        <w:t>manubrium sterni</w:t>
      </w:r>
      <w:r>
        <w:rPr>
          <w:rFonts w:cs="Times New Roman" w:ascii="Times New Roman" w:hAnsi="Times New Roman"/>
          <w:sz w:val="28"/>
          <w:szCs w:val="28"/>
          <w:lang w:val="ru-RU"/>
        </w:rPr>
        <w:t>),</w:t>
      </w:r>
      <w:r>
        <w:rPr>
          <w:rFonts w:cs="Times New Roman" w:ascii="Times New Roman" w:hAnsi="Times New Roman"/>
          <w:sz w:val="28"/>
          <w:szCs w:val="28"/>
          <w:lang w:val="en-US"/>
        </w:rPr>
        <w:t xml:space="preserve"> </w:t>
      </w:r>
      <w:r>
        <w:rPr>
          <w:rFonts w:cs="Times New Roman" w:ascii="Times New Roman" w:hAnsi="Times New Roman"/>
          <w:sz w:val="28"/>
          <w:szCs w:val="28"/>
        </w:rPr>
        <w:t xml:space="preserve">тяло </w:t>
      </w:r>
      <w:r>
        <w:rPr>
          <w:rFonts w:cs="Times New Roman" w:ascii="Times New Roman" w:hAnsi="Times New Roman"/>
          <w:sz w:val="28"/>
          <w:szCs w:val="28"/>
          <w:lang w:val="ru-RU"/>
        </w:rPr>
        <w:t>(</w:t>
      </w:r>
      <w:r>
        <w:rPr>
          <w:rFonts w:cs="Times New Roman" w:ascii="Times New Roman" w:hAnsi="Times New Roman"/>
          <w:b/>
          <w:sz w:val="28"/>
          <w:szCs w:val="28"/>
          <w:lang w:val="en-US"/>
        </w:rPr>
        <w:t>corpus sterni</w:t>
      </w:r>
      <w:r>
        <w:rPr>
          <w:rFonts w:cs="Times New Roman" w:ascii="Times New Roman" w:hAnsi="Times New Roman"/>
          <w:sz w:val="28"/>
          <w:szCs w:val="28"/>
          <w:lang w:val="ru-RU"/>
        </w:rPr>
        <w:t>) и мечовиден израстък (</w:t>
      </w:r>
      <w:r>
        <w:rPr>
          <w:rFonts w:cs="Times New Roman" w:ascii="Times New Roman" w:hAnsi="Times New Roman"/>
          <w:b/>
          <w:sz w:val="28"/>
          <w:szCs w:val="28"/>
          <w:lang w:val="en-US"/>
        </w:rPr>
        <w:t>procesus xiphoideum</w:t>
      </w:r>
      <w:r>
        <w:rPr>
          <w:rFonts w:cs="Times New Roman" w:ascii="Times New Roman" w:hAnsi="Times New Roman"/>
          <w:sz w:val="28"/>
          <w:szCs w:val="28"/>
          <w:lang w:val="ru-RU"/>
        </w:rPr>
        <w:t>). По ръбовете</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на дръжката са оформени изрезки за ставно свързване с ключиците и хрущялно свързване с 1 чифт ребра. Подобни ставни повърхности има и тялото : за ставно свързване с хрущялната част на II - VII ребра.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Ребрата (</w:t>
      </w:r>
      <w:r>
        <w:rPr>
          <w:rFonts w:cs="Times New Roman" w:ascii="Times New Roman" w:hAnsi="Times New Roman"/>
          <w:b/>
          <w:sz w:val="28"/>
          <w:szCs w:val="28"/>
          <w:lang w:val="en-US"/>
        </w:rPr>
        <w:t>costae</w:t>
      </w:r>
      <w:r>
        <w:rPr>
          <w:rFonts w:cs="Times New Roman" w:ascii="Times New Roman" w:hAnsi="Times New Roman"/>
          <w:sz w:val="28"/>
          <w:szCs w:val="28"/>
          <w:lang w:val="ru-RU"/>
        </w:rPr>
        <w:t xml:space="preserve">) заграждат встрани гръдната кухина. Всяко ребро </w:t>
      </w:r>
      <w:r>
        <w:rPr>
          <w:rFonts w:cs="Times New Roman" w:ascii="Times New Roman" w:hAnsi="Times New Roman"/>
          <w:sz w:val="28"/>
          <w:szCs w:val="28"/>
          <w:lang w:val="en-US"/>
        </w:rPr>
        <w:t>e</w:t>
      </w:r>
      <w:r>
        <w:rPr>
          <w:rFonts w:cs="Times New Roman" w:ascii="Times New Roman" w:hAnsi="Times New Roman"/>
          <w:sz w:val="28"/>
          <w:szCs w:val="28"/>
          <w:lang w:val="ru-RU"/>
        </w:rPr>
        <w:t xml:space="preserve"> изградено от предна хрущялна част (</w:t>
      </w:r>
      <w:r>
        <w:rPr>
          <w:rFonts w:cs="Times New Roman" w:ascii="Times New Roman" w:hAnsi="Times New Roman"/>
          <w:b/>
          <w:sz w:val="28"/>
          <w:szCs w:val="28"/>
          <w:lang w:val="en-US"/>
        </w:rPr>
        <w:t>cartilago costalis</w:t>
      </w:r>
      <w:r>
        <w:rPr>
          <w:rFonts w:cs="Times New Roman" w:ascii="Times New Roman" w:hAnsi="Times New Roman"/>
          <w:sz w:val="28"/>
          <w:szCs w:val="28"/>
          <w:lang w:val="ru-RU"/>
        </w:rPr>
        <w:t>) и задна костна част (</w:t>
      </w:r>
      <w:r>
        <w:rPr>
          <w:rFonts w:cs="Times New Roman" w:ascii="Times New Roman" w:hAnsi="Times New Roman"/>
          <w:b/>
          <w:sz w:val="28"/>
          <w:szCs w:val="28"/>
          <w:lang w:val="en-US"/>
        </w:rPr>
        <w:t>os costae</w:t>
      </w:r>
      <w:r>
        <w:rPr>
          <w:rFonts w:cs="Times New Roman" w:ascii="Times New Roman" w:hAnsi="Times New Roman"/>
          <w:sz w:val="28"/>
          <w:szCs w:val="28"/>
          <w:lang w:val="ru-RU"/>
        </w:rPr>
        <w:t>). Чрез хрущялната си част ребрата с изключение на XI и XII се</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свързват с гръдната кост. Първите седем чифта са свързани направо - така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наречените "истински" ребра (</w:t>
      </w:r>
      <w:r>
        <w:rPr>
          <w:rFonts w:cs="Times New Roman" w:ascii="Times New Roman" w:hAnsi="Times New Roman"/>
          <w:b/>
          <w:sz w:val="28"/>
          <w:szCs w:val="28"/>
          <w:lang w:val="en-US"/>
        </w:rPr>
        <w:t>costae verae</w:t>
      </w:r>
      <w:r>
        <w:rPr>
          <w:rFonts w:cs="Times New Roman" w:ascii="Times New Roman" w:hAnsi="Times New Roman"/>
          <w:sz w:val="28"/>
          <w:szCs w:val="28"/>
          <w:lang w:val="ru-RU"/>
        </w:rPr>
        <w:t>). Следващите три чифта се залепват с помощта на хрущяла на седмото ребро - " лъжливи " ребра (</w:t>
      </w:r>
      <w:r>
        <w:rPr>
          <w:rFonts w:cs="Times New Roman" w:ascii="Times New Roman" w:hAnsi="Times New Roman"/>
          <w:b/>
          <w:sz w:val="28"/>
          <w:szCs w:val="28"/>
          <w:lang w:val="en-US"/>
        </w:rPr>
        <w:t>costae spuriae</w:t>
      </w:r>
      <w:r>
        <w:rPr>
          <w:rFonts w:cs="Times New Roman" w:ascii="Times New Roman" w:hAnsi="Times New Roman"/>
          <w:sz w:val="28"/>
          <w:szCs w:val="28"/>
          <w:lang w:val="ru-RU"/>
        </w:rPr>
        <w:t>). Последните две двойки нямат връзка с гръдната кост и се наричат плаващи ребра. По отношение на своята форма показва индивидуални различия, които зависят от развитието на белите дробове и мускулите. При добре развити бели дробове и мускули, гръдния кош е по-къс и по-широк - тази форма се нарича - инспираторна (</w:t>
      </w:r>
      <w:r>
        <w:rPr>
          <w:rFonts w:cs="Times New Roman" w:ascii="Times New Roman" w:hAnsi="Times New Roman"/>
          <w:b/>
          <w:sz w:val="28"/>
          <w:szCs w:val="28"/>
          <w:lang w:val="en-US"/>
        </w:rPr>
        <w:t xml:space="preserve">inspirium </w:t>
      </w:r>
      <w:r>
        <w:rPr>
          <w:rFonts w:cs="Times New Roman" w:ascii="Times New Roman" w:hAnsi="Times New Roman"/>
          <w:sz w:val="28"/>
          <w:szCs w:val="28"/>
        </w:rPr>
        <w:t xml:space="preserve">- </w:t>
      </w:r>
      <w:r>
        <w:rPr>
          <w:rFonts w:cs="Times New Roman" w:ascii="Times New Roman" w:hAnsi="Times New Roman"/>
          <w:sz w:val="28"/>
          <w:szCs w:val="28"/>
          <w:lang w:val="ru-RU"/>
        </w:rPr>
        <w:t xml:space="preserve"> вдишване). При слабо раз</w:t>
      </w:r>
      <w:r>
        <w:rPr>
          <w:rFonts w:cs="Times New Roman" w:ascii="Times New Roman" w:hAnsi="Times New Roman"/>
          <w:sz w:val="28"/>
          <w:szCs w:val="28"/>
        </w:rPr>
        <w:t>вити бели дробове и мускули, той е по- дълъг и по – силно приплеснат – експираторна форма (</w:t>
      </w:r>
      <w:r>
        <w:rPr>
          <w:rFonts w:cs="Times New Roman" w:ascii="Times New Roman" w:hAnsi="Times New Roman"/>
          <w:b/>
          <w:sz w:val="28"/>
          <w:szCs w:val="28"/>
          <w:lang w:val="en-US"/>
        </w:rPr>
        <w:t>expirium</w:t>
      </w:r>
      <w:r>
        <w:rPr>
          <w:rFonts w:cs="Times New Roman" w:ascii="Times New Roman" w:hAnsi="Times New Roman"/>
          <w:b/>
          <w:sz w:val="28"/>
          <w:szCs w:val="28"/>
        </w:rPr>
        <w:t xml:space="preserve"> -</w:t>
      </w:r>
      <w:r>
        <w:rPr>
          <w:rFonts w:cs="Times New Roman" w:ascii="Times New Roman" w:hAnsi="Times New Roman"/>
          <w:sz w:val="28"/>
          <w:szCs w:val="28"/>
          <w:lang w:val="en-US"/>
        </w:rPr>
        <w:t xml:space="preserve"> </w:t>
      </w:r>
      <w:r>
        <w:rPr>
          <w:rFonts w:cs="Times New Roman" w:ascii="Times New Roman" w:hAnsi="Times New Roman"/>
          <w:sz w:val="28"/>
          <w:szCs w:val="28"/>
        </w:rPr>
        <w:t>издишване).</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Свързания на гръдния кош</w:t>
      </w:r>
      <w:r>
        <w:rPr>
          <w:rFonts w:cs="Times New Roman" w:ascii="Times New Roman" w:hAnsi="Times New Roman"/>
          <w:sz w:val="28"/>
          <w:szCs w:val="28"/>
          <w:lang w:val="ru-RU"/>
        </w:rPr>
        <w:t>. - Назад костната част на всяко ребро се свързва с телата и напречните израстъци на гръдните прешлени. Двете стави са комбинирани - те действат едновременно около обща ос. В резултат на това предния край на ребрата се повдигат нагоре и встрани. При тези движения се променя обема на гръдната кухина, фактор с изключително значение за дишането. Истинските ребра ( от II до VII) се свързват с гръдната кост чрез стави, покрити със здрави ставни връзки и движенията в тях по - ограничени.</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БИОМЕХАНИКА</w:t>
      </w:r>
      <w:r>
        <w:rPr>
          <w:rFonts w:cs="Times New Roman" w:ascii="Times New Roman" w:hAnsi="Times New Roman"/>
          <w:sz w:val="28"/>
          <w:szCs w:val="28"/>
          <w:lang w:val="ru-RU"/>
        </w:rPr>
        <w:t>. Размерите на гръдния кош се изменят при движенията на изграждащите го компоненти. Тези движения са свързани с дишането и осигуряват газовия обмен. При вдишване се увеличават размерите на гръдния кош и в трите основни посоки: предно-задна, напречна и надлъжна. Това увеличение е резултат от движението на ребрата, като само по отношение увеличаването на надлъжните размери съществено влияние оказва диафрагмата. Нейните сводове се спускат надолу при вдишване, а при издишване се издигат нагоре. При вдишване всяко ребро се издига с предния край нагоре. Движението се извършва около общата ос на двете стави, свързващи го с гръбначния стълб. Тъй като ребрата са наклонени надолу и напред, предно-задния диаметър на гръдния кош ще се увеличава ще нараства в зависимост от големината на наклона и амплитудата на движението. Увеличаването на напречните диаметри е също в корелационна зависимост от движенията на ребрата около общата им ос на ставите с гръбначния стълб. То е свързано с косото разположение по отношение на срединната равнина. Във връзка с това, при издигането на ребрата, най-изпъкналите встрани точки на чифт ребра ще се отдалечават, следователно ще се увеличава напречния диаметър. При първия чифт ребра с напречно разположение на осите то липсва, а надолу с намаляването на ъгъла, под който те се пресичат, то постепенно нараства. При издигането на ребрата нагоре става известно завъртане отдолу нагоре и встрани около надлъжната им ос и това още повече увеличава напречните размери на гръдния кош.</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При вдишване, се увеличават обикновено и надлъжните размери на ребрената част на гръдната клетка, което е пряко свързано с движенията на диафрагмата. То се дължи на факта, че осите на движение между ребрата и гръбначния стълб са наклонени не само назад и встрани, но и надолу и този наклон от първото до последното ребро постепенно нараства.</w:t>
      </w:r>
    </w:p>
    <w:p>
      <w:pPr>
        <w:pStyle w:val="Normal"/>
        <w:spacing w:lineRule="auto" w:line="360"/>
        <w:ind w:firstLine="708"/>
        <w:jc w:val="both"/>
        <w:rPr>
          <w:rFonts w:ascii="Times New Roman" w:hAnsi="Times New Roman" w:cs="Times New Roman"/>
          <w:b/>
          <w:sz w:val="28"/>
          <w:szCs w:val="28"/>
          <w:lang w:val="ru-RU"/>
        </w:rPr>
      </w:pPr>
      <w:r>
        <w:rPr>
          <w:rFonts w:cs="Times New Roman"/>
          <w:sz w:val="28"/>
          <w:szCs w:val="28"/>
          <w:lang w:val="en-US"/>
        </w:rPr>
      </w:r>
    </w:p>
    <w:p>
      <w:pPr>
        <w:pStyle w:val="Normal"/>
        <w:spacing w:lineRule="auto" w:line="360"/>
        <w:ind w:firstLine="708"/>
        <w:jc w:val="both"/>
        <w:rPr>
          <w:rFonts w:ascii="Times New Roman" w:hAnsi="Times New Roman" w:cs="Times New Roman"/>
          <w:b/>
          <w:sz w:val="28"/>
          <w:szCs w:val="28"/>
          <w:lang w:val="ru-RU"/>
        </w:rPr>
      </w:pPr>
      <w:r>
        <w:rPr>
          <w:sz w:val="28"/>
          <w:lang w:val="en-US"/>
        </w:rPr>
      </w:r>
    </w:p>
    <w:p>
      <w:pPr>
        <w:pStyle w:val="Normal"/>
        <w:spacing w:lineRule="auto" w:line="360"/>
        <w:jc w:val="both"/>
        <w:rPr>
          <w:rFonts w:ascii="Times New Roman" w:hAnsi="Times New Roman" w:cs="Times New Roman"/>
          <w:b/>
          <w:sz w:val="28"/>
          <w:szCs w:val="28"/>
          <w:lang w:val="ru-RU"/>
        </w:rPr>
      </w:pPr>
      <w:r>
        <w:rPr>
          <w:sz w:val="28"/>
        </w:rPr>
      </w:r>
    </w:p>
    <w:p>
      <w:pPr>
        <w:pStyle w:val="Normal"/>
        <w:spacing w:lineRule="auto" w:line="360"/>
        <w:ind w:firstLine="708"/>
        <w:jc w:val="both"/>
        <w:rPr>
          <w:rFonts w:ascii="Times New Roman" w:hAnsi="Times New Roman" w:cs="Times New Roman"/>
          <w:b/>
          <w:sz w:val="28"/>
          <w:szCs w:val="28"/>
          <w:lang w:val="ru-RU"/>
        </w:rPr>
      </w:pPr>
      <w:r>
        <w:rPr>
          <w:b/>
          <w:sz w:val="28"/>
          <w:szCs w:val="28"/>
        </w:rPr>
        <w:t>1.3.Функционална анатомия на ишиокрурална мускулатура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b/>
          <w:sz w:val="28"/>
          <w:szCs w:val="28"/>
          <w:lang w:val="ru-RU"/>
        </w:rPr>
        <w:t>Задна група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Тези мускули се разполагат по цялото протежение на задната страна на бедрото. Най-медиално се намира </w:t>
      </w:r>
      <w:r>
        <w:rPr>
          <w:rFonts w:cs="Times New Roman" w:ascii="Times New Roman" w:hAnsi="Times New Roman"/>
          <w:b/>
          <w:sz w:val="28"/>
          <w:szCs w:val="28"/>
          <w:lang w:val="en-US"/>
        </w:rPr>
        <w:t>m. semitendinosus</w:t>
      </w:r>
      <w:r>
        <w:rPr>
          <w:rFonts w:cs="Times New Roman" w:ascii="Times New Roman" w:hAnsi="Times New Roman"/>
          <w:sz w:val="28"/>
          <w:szCs w:val="28"/>
          <w:lang w:val="ru-RU"/>
        </w:rPr>
        <w:t xml:space="preserve">. Той има дълго обло сухожилие, което заема почти цялата му дистална половина. Към него приляга плътно </w:t>
      </w:r>
      <w:r>
        <w:rPr>
          <w:rFonts w:cs="Times New Roman" w:ascii="Times New Roman" w:hAnsi="Times New Roman"/>
          <w:b/>
          <w:sz w:val="28"/>
          <w:szCs w:val="28"/>
          <w:lang w:val="en-US"/>
        </w:rPr>
        <w:t xml:space="preserve">m.semimembranosus </w:t>
      </w:r>
      <w:r>
        <w:rPr>
          <w:rFonts w:cs="Times New Roman" w:ascii="Times New Roman" w:hAnsi="Times New Roman"/>
          <w:sz w:val="28"/>
          <w:szCs w:val="28"/>
          <w:lang w:val="ru-RU"/>
        </w:rPr>
        <w:t xml:space="preserve">; по протежение на горната си трета този мускул притежава дълго плоско сухожилие. </w:t>
      </w:r>
      <w:r>
        <w:rPr>
          <w:rFonts w:cs="Times New Roman" w:ascii="Times New Roman" w:hAnsi="Times New Roman"/>
          <w:b/>
          <w:sz w:val="28"/>
          <w:szCs w:val="28"/>
          <w:lang w:val="en-US"/>
        </w:rPr>
        <w:t>M biceps femoris</w:t>
      </w:r>
      <w:r>
        <w:rPr>
          <w:rFonts w:cs="Times New Roman" w:ascii="Times New Roman" w:hAnsi="Times New Roman"/>
          <w:sz w:val="28"/>
          <w:szCs w:val="28"/>
          <w:lang w:val="ru-RU"/>
        </w:rPr>
        <w:t xml:space="preserve"> се разполага в латералната част на задната половина на бедрото; в горната половина на бедрото той приляга към </w:t>
      </w:r>
      <w:r>
        <w:rPr>
          <w:rFonts w:cs="Times New Roman" w:ascii="Times New Roman" w:hAnsi="Times New Roman"/>
          <w:b/>
          <w:sz w:val="28"/>
          <w:szCs w:val="28"/>
          <w:lang w:val="en-US"/>
        </w:rPr>
        <w:t>m. semitendinosus</w:t>
      </w:r>
      <w:r>
        <w:rPr>
          <w:rFonts w:cs="Times New Roman" w:ascii="Times New Roman" w:hAnsi="Times New Roman"/>
          <w:sz w:val="28"/>
          <w:szCs w:val="28"/>
          <w:lang w:val="ru-RU"/>
        </w:rPr>
        <w:t xml:space="preserve">, а надолу постепенно се отдалечава от него (с долните си участъци двата посочени мускула заграждат задколянната яма — </w:t>
      </w:r>
      <w:r>
        <w:rPr>
          <w:rFonts w:cs="Times New Roman" w:ascii="Times New Roman" w:hAnsi="Times New Roman"/>
          <w:b/>
          <w:sz w:val="28"/>
          <w:szCs w:val="28"/>
          <w:lang w:val="en-US"/>
        </w:rPr>
        <w:t>fossa poplitea</w:t>
      </w:r>
      <w:r>
        <w:rPr>
          <w:rFonts w:cs="Times New Roman" w:ascii="Times New Roman" w:hAnsi="Times New Roman"/>
          <w:sz w:val="28"/>
          <w:szCs w:val="28"/>
          <w:lang w:val="ru-RU"/>
        </w:rPr>
        <w:t xml:space="preserve">). Основната функция на мускулите от тази група е разгъването в тазо-бедрената става и сгъването в колянната става. Освен това те подпомагат ротацията на бедрото. Инервират се от клонове на </w:t>
      </w:r>
      <w:r>
        <w:rPr>
          <w:rFonts w:cs="Times New Roman" w:ascii="Times New Roman" w:hAnsi="Times New Roman"/>
          <w:b/>
          <w:sz w:val="28"/>
          <w:szCs w:val="28"/>
          <w:lang w:val="en-US"/>
        </w:rPr>
        <w:t xml:space="preserve">n ishiadicus.   </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M. semitendinosus</w:t>
      </w:r>
      <w:r>
        <w:rPr>
          <w:rFonts w:cs="Times New Roman" w:ascii="Times New Roman" w:hAnsi="Times New Roman"/>
          <w:sz w:val="28"/>
          <w:szCs w:val="28"/>
          <w:lang w:val="ru-RU"/>
        </w:rPr>
        <w:t xml:space="preserve"> </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 xml:space="preserve">Начало: от </w:t>
      </w:r>
      <w:r>
        <w:rPr>
          <w:rFonts w:cs="Times New Roman" w:ascii="Times New Roman" w:hAnsi="Times New Roman"/>
          <w:b/>
          <w:sz w:val="28"/>
          <w:szCs w:val="28"/>
          <w:lang w:val="en-US"/>
        </w:rPr>
        <w:t>tuber ishiadicum</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 xml:space="preserve">Залавяне: за </w:t>
      </w:r>
      <w:r>
        <w:rPr>
          <w:rFonts w:cs="Times New Roman" w:ascii="Times New Roman" w:hAnsi="Times New Roman"/>
          <w:b/>
          <w:sz w:val="28"/>
          <w:szCs w:val="28"/>
          <w:lang w:val="en-US"/>
        </w:rPr>
        <w:t>tuberositas tibiae</w:t>
      </w:r>
      <w:r>
        <w:rPr>
          <w:rFonts w:cs="Times New Roman" w:ascii="Times New Roman" w:hAnsi="Times New Roman"/>
          <w:sz w:val="28"/>
          <w:szCs w:val="28"/>
          <w:lang w:val="ru-RU"/>
        </w:rPr>
        <w:t xml:space="preserve"> и фасцията на подбедрицата. Функция: разгъване в тазо-бедрената става и сгъване в колянната става; ротира навътре сгънатата подбедрица.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Инервация: </w:t>
      </w:r>
      <w:r>
        <w:rPr>
          <w:rFonts w:cs="Times New Roman" w:ascii="Times New Roman" w:hAnsi="Times New Roman"/>
          <w:b/>
          <w:sz w:val="28"/>
          <w:szCs w:val="28"/>
          <w:lang w:val="en-US"/>
        </w:rPr>
        <w:t>n. tibialis (L4 – S1)</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M .semimembranosus</w:t>
      </w:r>
      <w:r>
        <w:rPr>
          <w:rFonts w:cs="Times New Roman" w:ascii="Times New Roman" w:hAnsi="Times New Roman"/>
          <w:sz w:val="28"/>
          <w:szCs w:val="28"/>
          <w:lang w:val="ru-RU"/>
        </w:rPr>
        <w:t xml:space="preserve">. Начало: от </w:t>
      </w:r>
      <w:r>
        <w:rPr>
          <w:rFonts w:cs="Times New Roman" w:ascii="Times New Roman" w:hAnsi="Times New Roman"/>
          <w:sz w:val="28"/>
          <w:szCs w:val="28"/>
          <w:lang w:val="en-US"/>
        </w:rPr>
        <w:t>tuber ishiadicum</w:t>
      </w:r>
      <w:r>
        <w:rPr>
          <w:rFonts w:cs="Times New Roman" w:ascii="Times New Roman" w:hAnsi="Times New Roman"/>
          <w:sz w:val="28"/>
          <w:szCs w:val="28"/>
          <w:lang w:val="ru-RU"/>
        </w:rPr>
        <w:t xml:space="preserve">. Залавяне: чрез плоско сухожилие, съставено от три плоски снопчета, се прикрепва за медиалния кондил на големия пищял, за фасцията, покриваща </w:t>
      </w:r>
      <w:r>
        <w:rPr>
          <w:rFonts w:cs="Times New Roman" w:ascii="Times New Roman" w:hAnsi="Times New Roman"/>
          <w:b/>
          <w:sz w:val="28"/>
          <w:szCs w:val="28"/>
          <w:lang w:val="en-US"/>
        </w:rPr>
        <w:t xml:space="preserve">m.popliteus </w:t>
      </w:r>
      <w:r>
        <w:rPr>
          <w:rFonts w:cs="Times New Roman" w:ascii="Times New Roman" w:hAnsi="Times New Roman"/>
          <w:sz w:val="28"/>
          <w:szCs w:val="28"/>
          <w:lang w:val="ru-RU"/>
        </w:rPr>
        <w:t xml:space="preserve">, и за </w:t>
      </w:r>
      <w:r>
        <w:rPr>
          <w:rFonts w:cs="Times New Roman" w:ascii="Times New Roman" w:hAnsi="Times New Roman"/>
          <w:b/>
          <w:sz w:val="28"/>
          <w:szCs w:val="28"/>
          <w:lang w:val="en-US"/>
        </w:rPr>
        <w:t>lig. Popliteum obliquum</w:t>
      </w:r>
      <w:r>
        <w:rPr>
          <w:rFonts w:cs="Times New Roman" w:ascii="Times New Roman" w:hAnsi="Times New Roman"/>
          <w:sz w:val="28"/>
          <w:szCs w:val="28"/>
          <w:lang w:val="ru-RU"/>
        </w:rPr>
        <w:t xml:space="preserve">. Функция: както на </w:t>
      </w:r>
      <w:r>
        <w:rPr>
          <w:rFonts w:cs="Times New Roman" w:ascii="Times New Roman" w:hAnsi="Times New Roman"/>
          <w:b/>
          <w:sz w:val="28"/>
          <w:szCs w:val="28"/>
          <w:lang w:val="en-US"/>
        </w:rPr>
        <w:t>m. semitendinosus</w:t>
      </w:r>
      <w:r>
        <w:rPr>
          <w:rFonts w:cs="Times New Roman" w:ascii="Times New Roman" w:hAnsi="Times New Roman"/>
          <w:sz w:val="28"/>
          <w:szCs w:val="28"/>
          <w:lang w:val="ru-RU"/>
        </w:rPr>
        <w:t xml:space="preserve"> </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Инервация:</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 xml:space="preserve"> </w:t>
      </w:r>
      <w:r>
        <w:rPr>
          <w:rFonts w:cs="Times New Roman" w:ascii="Times New Roman" w:hAnsi="Times New Roman"/>
          <w:b/>
          <w:sz w:val="28"/>
          <w:szCs w:val="28"/>
          <w:lang w:val="en-US"/>
        </w:rPr>
        <w:t>n. tibialis (L4 – S1)</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 xml:space="preserve">M biceps femoris. </w:t>
      </w:r>
      <w:r>
        <w:rPr>
          <w:rFonts w:cs="Times New Roman" w:ascii="Times New Roman" w:hAnsi="Times New Roman"/>
          <w:sz w:val="28"/>
          <w:szCs w:val="28"/>
        </w:rPr>
        <w:t xml:space="preserve"> Начало</w:t>
      </w:r>
      <w:r>
        <w:rPr>
          <w:rFonts w:cs="Times New Roman" w:ascii="Times New Roman" w:hAnsi="Times New Roman"/>
          <w:b/>
          <w:sz w:val="28"/>
          <w:szCs w:val="28"/>
          <w:lang w:val="en-US"/>
        </w:rPr>
        <w:t>: caput longum</w:t>
      </w:r>
      <w:r>
        <w:rPr>
          <w:rFonts w:cs="Times New Roman" w:ascii="Times New Roman" w:hAnsi="Times New Roman"/>
          <w:sz w:val="28"/>
          <w:szCs w:val="28"/>
          <w:lang w:val="ru-RU"/>
        </w:rPr>
        <w:t xml:space="preserve"> </w:t>
      </w:r>
      <w:r>
        <w:rPr>
          <w:rFonts w:cs="Times New Roman" w:ascii="Times New Roman" w:hAnsi="Times New Roman"/>
          <w:sz w:val="28"/>
          <w:szCs w:val="28"/>
        </w:rPr>
        <w:t>започв</w:t>
      </w:r>
      <w:r>
        <w:rPr>
          <w:rFonts w:cs="Times New Roman" w:ascii="Times New Roman" w:hAnsi="Times New Roman"/>
          <w:sz w:val="28"/>
          <w:szCs w:val="28"/>
          <w:lang w:val="en-US"/>
        </w:rPr>
        <w:t>a</w:t>
      </w:r>
      <w:r>
        <w:rPr>
          <w:rFonts w:cs="Times New Roman" w:ascii="Times New Roman" w:hAnsi="Times New Roman"/>
          <w:sz w:val="28"/>
          <w:szCs w:val="28"/>
        </w:rPr>
        <w:t xml:space="preserve"> от </w:t>
      </w:r>
      <w:r>
        <w:rPr>
          <w:rFonts w:cs="Times New Roman" w:ascii="Times New Roman" w:hAnsi="Times New Roman"/>
          <w:b/>
          <w:sz w:val="28"/>
          <w:szCs w:val="28"/>
          <w:lang w:val="en-US"/>
        </w:rPr>
        <w:t xml:space="preserve">tuber ishiadicum; caput breve - </w:t>
      </w:r>
      <w:r>
        <w:rPr>
          <w:rFonts w:cs="Times New Roman" w:ascii="Times New Roman" w:hAnsi="Times New Roman"/>
          <w:b/>
          <w:sz w:val="28"/>
          <w:szCs w:val="28"/>
        </w:rPr>
        <w:t xml:space="preserve"> </w:t>
      </w:r>
      <w:r>
        <w:rPr>
          <w:rFonts w:cs="Times New Roman" w:ascii="Times New Roman" w:hAnsi="Times New Roman"/>
          <w:sz w:val="28"/>
          <w:szCs w:val="28"/>
        </w:rPr>
        <w:t>от долната половина на латералната устна на</w:t>
      </w:r>
      <w:r>
        <w:rPr>
          <w:rFonts w:cs="Times New Roman" w:ascii="Times New Roman" w:hAnsi="Times New Roman"/>
          <w:b/>
          <w:sz w:val="28"/>
          <w:szCs w:val="28"/>
        </w:rPr>
        <w:t xml:space="preserve"> </w:t>
      </w:r>
      <w:r>
        <w:rPr>
          <w:rFonts w:cs="Times New Roman" w:ascii="Times New Roman" w:hAnsi="Times New Roman"/>
          <w:b/>
          <w:sz w:val="28"/>
          <w:szCs w:val="28"/>
          <w:lang w:val="en-US"/>
        </w:rPr>
        <w:t xml:space="preserve"> linea aspera femoris. </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 xml:space="preserve">Залавяне </w:t>
      </w:r>
      <w:r>
        <w:rPr>
          <w:rFonts w:cs="Times New Roman" w:ascii="Times New Roman" w:hAnsi="Times New Roman"/>
          <w:sz w:val="28"/>
          <w:szCs w:val="28"/>
          <w:lang w:val="en-US"/>
        </w:rPr>
        <w:t xml:space="preserve">: </w:t>
      </w:r>
      <w:r>
        <w:rPr>
          <w:rFonts w:cs="Times New Roman" w:ascii="Times New Roman" w:hAnsi="Times New Roman"/>
          <w:b/>
          <w:sz w:val="28"/>
          <w:szCs w:val="28"/>
          <w:lang w:val="ru-RU"/>
        </w:rPr>
        <w:t xml:space="preserve">за </w:t>
      </w:r>
      <w:r>
        <w:rPr>
          <w:rFonts w:cs="Times New Roman" w:ascii="Times New Roman" w:hAnsi="Times New Roman"/>
          <w:b/>
          <w:sz w:val="28"/>
          <w:szCs w:val="28"/>
          <w:lang w:val="en-US"/>
        </w:rPr>
        <w:t>caput fibulae</w:t>
      </w:r>
      <w:r>
        <w:rPr>
          <w:rFonts w:cs="Times New Roman" w:ascii="Times New Roman" w:hAnsi="Times New Roman"/>
          <w:sz w:val="28"/>
          <w:szCs w:val="28"/>
          <w:lang w:val="en-US"/>
        </w:rPr>
        <w:t>.</w:t>
      </w:r>
      <w:r>
        <w:rPr>
          <w:rFonts w:cs="Times New Roman" w:ascii="Times New Roman" w:hAnsi="Times New Roman"/>
          <w:sz w:val="28"/>
          <w:szCs w:val="28"/>
          <w:lang w:val="ru-RU"/>
        </w:rPr>
        <w:t xml:space="preserve"> Функция: сгъва в колянната става и разгъва в тазобедрената става; ротира навън сгънатата подбедрица    Инервация: дългата глава — </w:t>
      </w:r>
      <w:r>
        <w:rPr>
          <w:rFonts w:cs="Times New Roman" w:ascii="Times New Roman" w:hAnsi="Times New Roman"/>
          <w:b/>
          <w:sz w:val="28"/>
          <w:szCs w:val="28"/>
          <w:lang w:val="en-US"/>
        </w:rPr>
        <w:t>n. tibialis</w:t>
      </w:r>
      <w:r>
        <w:rPr>
          <w:rFonts w:cs="Times New Roman" w:ascii="Times New Roman" w:hAnsi="Times New Roman"/>
          <w:sz w:val="28"/>
          <w:szCs w:val="28"/>
          <w:lang w:val="ru-RU"/>
        </w:rPr>
        <w:t>, късата глава</w:t>
        <w:tab/>
      </w:r>
      <w:r>
        <w:rPr>
          <w:rFonts w:cs="Times New Roman" w:ascii="Times New Roman" w:hAnsi="Times New Roman"/>
          <w:b/>
          <w:sz w:val="28"/>
          <w:szCs w:val="28"/>
          <w:lang w:val="en-US"/>
        </w:rPr>
        <w:t>n.peroneus communis</w:t>
      </w:r>
      <w:r>
        <w:rPr>
          <w:rFonts w:cs="Times New Roman" w:ascii="Times New Roman" w:hAnsi="Times New Roman"/>
          <w:sz w:val="28"/>
          <w:szCs w:val="28"/>
          <w:lang w:val="en-US"/>
        </w:rPr>
        <w:t xml:space="preserve"> (</w:t>
      </w:r>
      <w:r>
        <w:rPr>
          <w:rFonts w:cs="Times New Roman" w:ascii="Times New Roman" w:hAnsi="Times New Roman"/>
          <w:b/>
          <w:sz w:val="28"/>
          <w:szCs w:val="28"/>
          <w:lang w:val="en-US"/>
        </w:rPr>
        <w:t>L4 – S1)</w:t>
      </w:r>
      <w:r>
        <w:rPr>
          <w:rFonts w:cs="Times New Roman" w:ascii="Times New Roman" w:hAnsi="Times New Roman"/>
          <w:b/>
          <w:sz w:val="28"/>
          <w:szCs w:val="28"/>
        </w:rPr>
        <w:t>.</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Мускулите от задната група</w:t>
      </w:r>
      <w:r>
        <w:rPr>
          <w:rFonts w:cs="Times New Roman" w:ascii="Times New Roman" w:hAnsi="Times New Roman"/>
          <w:sz w:val="28"/>
          <w:szCs w:val="28"/>
        </w:rPr>
        <w:t xml:space="preserve"> на подбедрицата </w:t>
      </w:r>
      <w:r>
        <w:rPr>
          <w:rFonts w:cs="Times New Roman" w:ascii="Times New Roman" w:hAnsi="Times New Roman"/>
          <w:sz w:val="28"/>
          <w:szCs w:val="28"/>
          <w:lang w:val="ru-RU"/>
        </w:rPr>
        <w:t xml:space="preserve">се нареждат в два слоя — повърхностен и дълбок. В състава на повърхностния слой влизат </w:t>
      </w:r>
      <w:r>
        <w:rPr>
          <w:rFonts w:cs="Times New Roman" w:ascii="Times New Roman" w:hAnsi="Times New Roman"/>
          <w:b/>
          <w:sz w:val="28"/>
          <w:szCs w:val="28"/>
          <w:lang w:val="en-US"/>
        </w:rPr>
        <w:t>m. triceps surae</w:t>
      </w:r>
      <w:r>
        <w:rPr>
          <w:rFonts w:cs="Times New Roman" w:ascii="Times New Roman" w:hAnsi="Times New Roman"/>
          <w:sz w:val="28"/>
          <w:szCs w:val="28"/>
          <w:lang w:val="ru-RU"/>
        </w:rPr>
        <w:t xml:space="preserve"> и </w:t>
      </w:r>
      <w:r>
        <w:rPr>
          <w:rFonts w:cs="Times New Roman" w:ascii="Times New Roman" w:hAnsi="Times New Roman"/>
          <w:b/>
          <w:sz w:val="28"/>
          <w:szCs w:val="28"/>
          <w:lang w:val="en-US"/>
        </w:rPr>
        <w:t>m. plantaris</w:t>
      </w:r>
      <w:r>
        <w:rPr>
          <w:rFonts w:cs="Times New Roman" w:ascii="Times New Roman" w:hAnsi="Times New Roman"/>
          <w:sz w:val="28"/>
          <w:szCs w:val="28"/>
          <w:lang w:val="en-US"/>
        </w:rPr>
        <w:t xml:space="preserve">. </w:t>
      </w:r>
      <w:r>
        <w:rPr>
          <w:rFonts w:cs="Times New Roman" w:ascii="Times New Roman" w:hAnsi="Times New Roman"/>
          <w:b/>
          <w:sz w:val="28"/>
          <w:szCs w:val="28"/>
          <w:lang w:val="en-US"/>
        </w:rPr>
        <w:t>M</w:t>
      </w:r>
      <w:r>
        <w:rPr>
          <w:rFonts w:cs="Times New Roman" w:ascii="Times New Roman" w:hAnsi="Times New Roman"/>
          <w:b/>
          <w:sz w:val="28"/>
          <w:szCs w:val="28"/>
          <w:lang w:val="ru-RU"/>
        </w:rPr>
        <w:t>.</w:t>
      </w:r>
      <w:r>
        <w:rPr>
          <w:rFonts w:cs="Times New Roman" w:ascii="Times New Roman" w:hAnsi="Times New Roman"/>
          <w:b/>
          <w:sz w:val="28"/>
          <w:szCs w:val="28"/>
          <w:lang w:val="en-US"/>
        </w:rPr>
        <w:t xml:space="preserve"> triceps surae</w:t>
      </w:r>
      <w:r>
        <w:rPr>
          <w:rFonts w:cs="Times New Roman" w:ascii="Times New Roman" w:hAnsi="Times New Roman"/>
          <w:sz w:val="28"/>
          <w:szCs w:val="28"/>
          <w:lang w:val="ru-RU"/>
        </w:rPr>
        <w:t xml:space="preserve"> се образува от латералната и медиалната глава на </w:t>
      </w:r>
      <w:r>
        <w:rPr>
          <w:rFonts w:cs="Times New Roman" w:ascii="Times New Roman" w:hAnsi="Times New Roman"/>
          <w:b/>
          <w:sz w:val="28"/>
          <w:szCs w:val="28"/>
          <w:lang w:val="en-US"/>
        </w:rPr>
        <w:t>m. gastrocnemius</w:t>
      </w:r>
      <w:r>
        <w:rPr>
          <w:rFonts w:cs="Times New Roman" w:ascii="Times New Roman" w:hAnsi="Times New Roman"/>
          <w:sz w:val="28"/>
          <w:szCs w:val="28"/>
          <w:lang w:val="ru-RU"/>
        </w:rPr>
        <w:t xml:space="preserve"> и разположения под тях </w:t>
      </w:r>
      <w:r>
        <w:rPr>
          <w:rFonts w:cs="Times New Roman" w:ascii="Times New Roman" w:hAnsi="Times New Roman"/>
          <w:b/>
          <w:sz w:val="28"/>
          <w:szCs w:val="28"/>
          <w:lang w:val="en-US"/>
        </w:rPr>
        <w:t>m. soleus</w:t>
      </w:r>
      <w:r>
        <w:rPr>
          <w:rFonts w:cs="Times New Roman" w:ascii="Times New Roman" w:hAnsi="Times New Roman"/>
          <w:b/>
          <w:sz w:val="28"/>
          <w:szCs w:val="28"/>
          <w:lang w:val="ru-RU"/>
        </w:rPr>
        <w:t>. М. р</w:t>
      </w:r>
      <w:r>
        <w:rPr>
          <w:rFonts w:cs="Times New Roman" w:ascii="Times New Roman" w:hAnsi="Times New Roman"/>
          <w:b/>
          <w:sz w:val="28"/>
          <w:szCs w:val="28"/>
          <w:lang w:val="en-US"/>
        </w:rPr>
        <w:t>lantaris</w:t>
      </w:r>
      <w:r>
        <w:rPr>
          <w:rFonts w:cs="Times New Roman" w:ascii="Times New Roman" w:hAnsi="Times New Roman"/>
          <w:sz w:val="28"/>
          <w:szCs w:val="28"/>
          <w:lang w:val="ru-RU"/>
        </w:rPr>
        <w:t xml:space="preserve"> се отличава с късо тънко коремче, разположено в колянната област, и дълго тънко сухожилие, слизащо по подбедрицата (понякога този мускул липсва). Дълбокият слой се състои от три мускула, които от медиално към латерално са: </w:t>
      </w:r>
      <w:r>
        <w:rPr>
          <w:rFonts w:cs="Times New Roman" w:ascii="Times New Roman" w:hAnsi="Times New Roman"/>
          <w:b/>
          <w:sz w:val="28"/>
          <w:szCs w:val="28"/>
          <w:lang w:val="en-US"/>
        </w:rPr>
        <w:t xml:space="preserve">m. flexor digitorum longus, m. tibialis posterior </w:t>
      </w:r>
      <w:r>
        <w:rPr>
          <w:rFonts w:cs="Times New Roman" w:ascii="Times New Roman" w:hAnsi="Times New Roman"/>
          <w:sz w:val="28"/>
          <w:szCs w:val="28"/>
          <w:lang w:val="ru-RU"/>
        </w:rPr>
        <w:t>и</w:t>
      </w:r>
      <w:r>
        <w:rPr>
          <w:rFonts w:cs="Times New Roman" w:ascii="Times New Roman" w:hAnsi="Times New Roman"/>
          <w:b/>
          <w:sz w:val="28"/>
          <w:szCs w:val="28"/>
          <w:lang w:val="en-US"/>
        </w:rPr>
        <w:t xml:space="preserve"> m. flexor hallucis longus</w:t>
      </w:r>
      <w:r>
        <w:rPr>
          <w:rFonts w:cs="Times New Roman" w:ascii="Times New Roman" w:hAnsi="Times New Roman"/>
          <w:sz w:val="28"/>
          <w:szCs w:val="28"/>
          <w:lang w:val="ru-RU"/>
        </w:rPr>
        <w:t xml:space="preserve">; в колянната област се разполага малък кос мускул — </w:t>
      </w:r>
      <w:r>
        <w:rPr>
          <w:rFonts w:cs="Times New Roman" w:ascii="Times New Roman" w:hAnsi="Times New Roman"/>
          <w:b/>
          <w:sz w:val="28"/>
          <w:szCs w:val="28"/>
          <w:lang w:val="en-US"/>
        </w:rPr>
        <w:t>m.</w:t>
      </w:r>
      <w:r>
        <w:rPr>
          <w:rFonts w:cs="Times New Roman" w:ascii="Times New Roman" w:hAnsi="Times New Roman"/>
          <w:b/>
          <w:sz w:val="28"/>
          <w:szCs w:val="28"/>
          <w:lang w:val="ru-RU"/>
        </w:rPr>
        <w:t xml:space="preserve"> рор</w:t>
      </w:r>
      <w:r>
        <w:rPr>
          <w:rFonts w:cs="Times New Roman" w:ascii="Times New Roman" w:hAnsi="Times New Roman"/>
          <w:b/>
          <w:sz w:val="28"/>
          <w:szCs w:val="28"/>
          <w:lang w:val="en-US"/>
        </w:rPr>
        <w:t>liteus</w:t>
      </w:r>
      <w:r>
        <w:rPr>
          <w:rFonts w:cs="Times New Roman" w:ascii="Times New Roman" w:hAnsi="Times New Roman"/>
          <w:sz w:val="28"/>
          <w:szCs w:val="28"/>
          <w:lang w:val="ru-RU"/>
        </w:rPr>
        <w:t>.</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M</w:t>
      </w:r>
      <w:r>
        <w:rPr>
          <w:rFonts w:cs="Times New Roman" w:ascii="Times New Roman" w:hAnsi="Times New Roman"/>
          <w:b/>
          <w:sz w:val="28"/>
          <w:szCs w:val="28"/>
          <w:lang w:val="ru-RU"/>
        </w:rPr>
        <w:t>.</w:t>
      </w:r>
      <w:r>
        <w:rPr>
          <w:rFonts w:cs="Times New Roman" w:ascii="Times New Roman" w:hAnsi="Times New Roman"/>
          <w:b/>
          <w:sz w:val="28"/>
          <w:szCs w:val="28"/>
          <w:lang w:val="en-US"/>
        </w:rPr>
        <w:t xml:space="preserve"> triceps surae</w:t>
      </w:r>
      <w:r>
        <w:rPr>
          <w:rFonts w:cs="Times New Roman" w:ascii="Times New Roman" w:hAnsi="Times New Roman"/>
          <w:sz w:val="28"/>
          <w:szCs w:val="28"/>
          <w:lang w:val="ru-RU"/>
        </w:rPr>
        <w:t xml:space="preserve">. Начало: двете глави на </w:t>
      </w:r>
      <w:r>
        <w:rPr>
          <w:rFonts w:cs="Times New Roman" w:ascii="Times New Roman" w:hAnsi="Times New Roman"/>
          <w:b/>
          <w:sz w:val="28"/>
          <w:szCs w:val="28"/>
          <w:lang w:val="en-US"/>
        </w:rPr>
        <w:t>m. gastrocnemius</w:t>
      </w:r>
      <w:r>
        <w:rPr>
          <w:rFonts w:cs="Times New Roman" w:ascii="Times New Roman" w:hAnsi="Times New Roman"/>
          <w:sz w:val="28"/>
          <w:szCs w:val="28"/>
          <w:lang w:val="ru-RU"/>
        </w:rPr>
        <w:t xml:space="preserve"> — от двата кондила на бедрената кост; </w:t>
      </w:r>
      <w:r>
        <w:rPr>
          <w:rFonts w:cs="Times New Roman" w:ascii="Times New Roman" w:hAnsi="Times New Roman"/>
          <w:b/>
          <w:sz w:val="28"/>
          <w:szCs w:val="28"/>
          <w:lang w:val="en-US"/>
        </w:rPr>
        <w:t>m. soleus</w:t>
      </w:r>
      <w:r>
        <w:rPr>
          <w:rFonts w:cs="Times New Roman" w:ascii="Times New Roman" w:hAnsi="Times New Roman"/>
          <w:sz w:val="28"/>
          <w:szCs w:val="28"/>
          <w:lang w:val="ru-RU"/>
        </w:rPr>
        <w:t xml:space="preserve"> — от главата и задната повърхност на малкия пищял, от сухожилната дъга (</w:t>
      </w:r>
      <w:r>
        <w:rPr>
          <w:rFonts w:cs="Times New Roman" w:ascii="Times New Roman" w:hAnsi="Times New Roman"/>
          <w:b/>
          <w:sz w:val="28"/>
          <w:szCs w:val="28"/>
          <w:lang w:val="en-US"/>
        </w:rPr>
        <w:t>arcus tendineus</w:t>
      </w:r>
      <w:r>
        <w:rPr>
          <w:rFonts w:cs="Times New Roman" w:ascii="Times New Roman" w:hAnsi="Times New Roman"/>
          <w:sz w:val="28"/>
          <w:szCs w:val="28"/>
          <w:lang w:val="en-US"/>
        </w:rPr>
        <w:t xml:space="preserve"> </w:t>
      </w:r>
      <w:r>
        <w:rPr>
          <w:rFonts w:cs="Times New Roman" w:ascii="Times New Roman" w:hAnsi="Times New Roman"/>
          <w:sz w:val="28"/>
          <w:szCs w:val="28"/>
        </w:rPr>
        <w:t xml:space="preserve">и </w:t>
      </w:r>
      <w:r>
        <w:rPr>
          <w:rFonts w:cs="Times New Roman" w:ascii="Times New Roman" w:hAnsi="Times New Roman"/>
          <w:b/>
          <w:sz w:val="28"/>
          <w:szCs w:val="28"/>
          <w:lang w:val="en-US"/>
        </w:rPr>
        <w:t>m. solei</w:t>
      </w:r>
      <w:r>
        <w:rPr>
          <w:rFonts w:cs="Times New Roman" w:ascii="Times New Roman" w:hAnsi="Times New Roman"/>
          <w:sz w:val="28"/>
          <w:szCs w:val="28"/>
          <w:lang w:val="ru-RU"/>
        </w:rPr>
        <w:t>), прехвърляща се от малкия към големия пищял, и от задната повърхност на</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 xml:space="preserve">последния. Залавяне: чрез общо масивно сухожилие — </w:t>
      </w:r>
      <w:r>
        <w:rPr>
          <w:rFonts w:cs="Times New Roman" w:ascii="Times New Roman" w:hAnsi="Times New Roman"/>
          <w:b/>
          <w:sz w:val="28"/>
          <w:szCs w:val="28"/>
          <w:lang w:val="en-US"/>
        </w:rPr>
        <w:t>tendo calcaneus</w:t>
      </w:r>
      <w:r>
        <w:rPr>
          <w:rFonts w:cs="Times New Roman" w:ascii="Times New Roman" w:hAnsi="Times New Roman"/>
          <w:sz w:val="28"/>
          <w:szCs w:val="28"/>
          <w:lang w:val="ru-RU"/>
        </w:rPr>
        <w:t xml:space="preserve"> (Ахилесово сухожилие) — за </w:t>
      </w:r>
      <w:r>
        <w:rPr>
          <w:rFonts w:cs="Times New Roman" w:ascii="Times New Roman" w:hAnsi="Times New Roman"/>
          <w:b/>
          <w:sz w:val="28"/>
          <w:szCs w:val="28"/>
          <w:lang w:val="en-US"/>
        </w:rPr>
        <w:t>tuber calcanei</w:t>
      </w:r>
      <w:r>
        <w:rPr>
          <w:rFonts w:cs="Times New Roman" w:ascii="Times New Roman" w:hAnsi="Times New Roman"/>
          <w:sz w:val="28"/>
          <w:szCs w:val="28"/>
          <w:lang w:val="ru-RU"/>
        </w:rPr>
        <w:t xml:space="preserve">. Функция: сгъване (плантарна флексия) на ходилото в горната скочна става; участва в супинацията и привеждането на ходилото; </w:t>
      </w:r>
      <w:r>
        <w:rPr>
          <w:rFonts w:cs="Times New Roman" w:ascii="Times New Roman" w:hAnsi="Times New Roman"/>
          <w:b/>
          <w:sz w:val="28"/>
          <w:szCs w:val="28"/>
          <w:lang w:val="en-US"/>
        </w:rPr>
        <w:t>m. gastrocnemius</w:t>
      </w:r>
      <w:r>
        <w:rPr>
          <w:rFonts w:cs="Times New Roman" w:ascii="Times New Roman" w:hAnsi="Times New Roman"/>
          <w:sz w:val="28"/>
          <w:szCs w:val="28"/>
          <w:lang w:val="ru-RU"/>
        </w:rPr>
        <w:t xml:space="preserve"> подпомага сгъването на подбедрицата.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Инервация: </w:t>
      </w:r>
      <w:r>
        <w:rPr>
          <w:rFonts w:cs="Times New Roman" w:ascii="Times New Roman" w:hAnsi="Times New Roman"/>
          <w:b/>
          <w:sz w:val="28"/>
          <w:szCs w:val="28"/>
          <w:lang w:val="en-US"/>
        </w:rPr>
        <w:t>n. tibialis</w:t>
      </w:r>
      <w:r>
        <w:rPr>
          <w:rFonts w:cs="Times New Roman" w:ascii="Times New Roman" w:hAnsi="Times New Roman"/>
          <w:sz w:val="28"/>
          <w:szCs w:val="28"/>
          <w:lang w:val="ru-RU"/>
        </w:rPr>
        <w:t xml:space="preserve"> (</w:t>
      </w:r>
      <w:r>
        <w:rPr>
          <w:rFonts w:cs="Times New Roman" w:ascii="Times New Roman" w:hAnsi="Times New Roman"/>
          <w:sz w:val="28"/>
          <w:szCs w:val="28"/>
          <w:lang w:val="en-US"/>
        </w:rPr>
        <w:t>L</w:t>
      </w:r>
      <w:r>
        <w:rPr>
          <w:rFonts w:cs="Times New Roman" w:ascii="Times New Roman" w:hAnsi="Times New Roman"/>
          <w:sz w:val="28"/>
          <w:szCs w:val="28"/>
          <w:lang w:val="ru-RU"/>
        </w:rPr>
        <w:t>4—</w:t>
      </w:r>
      <w:r>
        <w:rPr>
          <w:rFonts w:cs="Times New Roman" w:ascii="Times New Roman" w:hAnsi="Times New Roman"/>
          <w:sz w:val="28"/>
          <w:szCs w:val="28"/>
          <w:lang w:val="en-US"/>
        </w:rPr>
        <w:t>S</w:t>
      </w:r>
      <w:r>
        <w:rPr>
          <w:rFonts w:cs="Times New Roman" w:ascii="Times New Roman" w:hAnsi="Times New Roman"/>
          <w:sz w:val="28"/>
          <w:szCs w:val="28"/>
          <w:lang w:val="ru-RU"/>
        </w:rPr>
        <w:t>2)</w:t>
      </w:r>
      <w:r>
        <w:rPr>
          <w:rFonts w:cs="Times New Roman" w:ascii="Times New Roman" w:hAnsi="Times New Roman"/>
          <w:sz w:val="28"/>
          <w:szCs w:val="28"/>
          <w:lang w:val="en-US"/>
        </w:rPr>
        <w:t>.</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 xml:space="preserve">М. </w:t>
      </w:r>
      <w:r>
        <w:rPr>
          <w:rFonts w:cs="Times New Roman" w:ascii="Times New Roman" w:hAnsi="Times New Roman"/>
          <w:b/>
          <w:sz w:val="28"/>
          <w:szCs w:val="28"/>
          <w:lang w:val="en-US"/>
        </w:rPr>
        <w:t>plantaris</w:t>
      </w:r>
      <w:r>
        <w:rPr>
          <w:rFonts w:cs="Times New Roman" w:ascii="Times New Roman" w:hAnsi="Times New Roman"/>
          <w:sz w:val="28"/>
          <w:szCs w:val="28"/>
        </w:rPr>
        <w:t xml:space="preserve"> – н</w:t>
      </w:r>
      <w:r>
        <w:rPr>
          <w:rFonts w:cs="Times New Roman" w:ascii="Times New Roman" w:hAnsi="Times New Roman"/>
          <w:sz w:val="28"/>
          <w:szCs w:val="28"/>
          <w:lang w:val="ru-RU"/>
        </w:rPr>
        <w:t xml:space="preserve">ачало: от бедрената кост проксимално от </w:t>
      </w:r>
      <w:r>
        <w:rPr>
          <w:rFonts w:cs="Times New Roman" w:ascii="Times New Roman" w:hAnsi="Times New Roman"/>
          <w:b/>
          <w:sz w:val="28"/>
          <w:szCs w:val="28"/>
          <w:lang w:val="en-US"/>
        </w:rPr>
        <w:t>condylus lateralis</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 xml:space="preserve">— </w:t>
      </w:r>
      <w:r>
        <w:rPr>
          <w:rFonts w:cs="Times New Roman" w:ascii="Times New Roman" w:hAnsi="Times New Roman"/>
          <w:sz w:val="28"/>
          <w:szCs w:val="28"/>
        </w:rPr>
        <w:t>з</w:t>
      </w:r>
      <w:r>
        <w:rPr>
          <w:rFonts w:cs="Times New Roman" w:ascii="Times New Roman" w:hAnsi="Times New Roman"/>
          <w:sz w:val="28"/>
          <w:szCs w:val="28"/>
          <w:lang w:val="ru-RU"/>
        </w:rPr>
        <w:t xml:space="preserve">алавяне: заедно с Ахилесовото сухожилие за </w:t>
      </w:r>
      <w:r>
        <w:rPr>
          <w:rFonts w:cs="Times New Roman" w:ascii="Times New Roman" w:hAnsi="Times New Roman"/>
          <w:b/>
          <w:sz w:val="28"/>
          <w:szCs w:val="28"/>
          <w:lang w:val="en-US"/>
        </w:rPr>
        <w:t>tuber calcanei</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 xml:space="preserve"> Функция: подпомага </w:t>
      </w:r>
      <w:r>
        <w:rPr>
          <w:rFonts w:cs="Times New Roman" w:ascii="Times New Roman" w:hAnsi="Times New Roman"/>
          <w:b/>
          <w:sz w:val="28"/>
          <w:szCs w:val="28"/>
          <w:lang w:val="en-US"/>
        </w:rPr>
        <w:t>m. triceps surae</w:t>
      </w:r>
      <w:r>
        <w:rPr>
          <w:rFonts w:cs="Times New Roman" w:ascii="Times New Roman" w:hAnsi="Times New Roman"/>
          <w:sz w:val="28"/>
          <w:szCs w:val="28"/>
          <w:lang w:val="ru-RU"/>
        </w:rPr>
        <w:t>.</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Инервация: </w:t>
      </w:r>
      <w:r>
        <w:rPr>
          <w:rFonts w:cs="Times New Roman" w:ascii="Times New Roman" w:hAnsi="Times New Roman"/>
          <w:b/>
          <w:sz w:val="28"/>
          <w:szCs w:val="28"/>
          <w:lang w:val="en-US"/>
        </w:rPr>
        <w:t>n. tibialis</w:t>
      </w:r>
      <w:r>
        <w:rPr>
          <w:rFonts w:cs="Times New Roman" w:ascii="Times New Roman" w:hAnsi="Times New Roman"/>
          <w:sz w:val="28"/>
          <w:szCs w:val="28"/>
          <w:lang w:val="en-US"/>
        </w:rPr>
        <w:t xml:space="preserve"> (L5 – S2).</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М. рор</w:t>
      </w:r>
      <w:r>
        <w:rPr>
          <w:rFonts w:cs="Times New Roman" w:ascii="Times New Roman" w:hAnsi="Times New Roman"/>
          <w:b/>
          <w:sz w:val="28"/>
          <w:szCs w:val="28"/>
          <w:lang w:val="en-US"/>
        </w:rPr>
        <w:t>liteus</w:t>
      </w:r>
      <w:r>
        <w:rPr>
          <w:rFonts w:cs="Times New Roman" w:ascii="Times New Roman" w:hAnsi="Times New Roman"/>
          <w:sz w:val="28"/>
          <w:szCs w:val="28"/>
          <w:lang w:val="ru-RU"/>
        </w:rPr>
        <w:t xml:space="preserve">. Начало: от </w:t>
      </w:r>
      <w:r>
        <w:rPr>
          <w:rFonts w:cs="Times New Roman" w:ascii="Times New Roman" w:hAnsi="Times New Roman"/>
          <w:b/>
          <w:sz w:val="28"/>
          <w:szCs w:val="28"/>
          <w:lang w:val="en-US"/>
        </w:rPr>
        <w:t>epicondylus lateralis femoris</w:t>
      </w:r>
      <w:r>
        <w:rPr>
          <w:rFonts w:cs="Times New Roman" w:ascii="Times New Roman" w:hAnsi="Times New Roman"/>
          <w:sz w:val="28"/>
          <w:szCs w:val="28"/>
          <w:lang w:val="en-US"/>
        </w:rPr>
        <w:t>.</w:t>
      </w:r>
      <w:r>
        <w:rPr>
          <w:rFonts w:cs="Times New Roman" w:ascii="Times New Roman" w:hAnsi="Times New Roman"/>
          <w:sz w:val="28"/>
          <w:szCs w:val="28"/>
          <w:lang w:val="ru-RU"/>
        </w:rPr>
        <w:t xml:space="preserve"> Залавяне: </w:t>
      </w:r>
      <w:r>
        <w:rPr>
          <w:rFonts w:cs="Times New Roman" w:ascii="Times New Roman" w:hAnsi="Times New Roman"/>
          <w:sz w:val="28"/>
          <w:szCs w:val="28"/>
        </w:rPr>
        <w:t xml:space="preserve">за задната повърхност на големия пищял. Функция: подпомага сгъването и вътрешната ротация на подбедрицата. </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rPr>
        <w:t xml:space="preserve">Инервация: </w:t>
      </w:r>
      <w:r>
        <w:rPr>
          <w:rFonts w:cs="Times New Roman" w:ascii="Times New Roman" w:hAnsi="Times New Roman"/>
          <w:b/>
          <w:sz w:val="28"/>
          <w:szCs w:val="28"/>
          <w:lang w:val="en-US"/>
        </w:rPr>
        <w:t>n. tibialis</w:t>
      </w:r>
      <w:r>
        <w:rPr>
          <w:rFonts w:cs="Times New Roman" w:ascii="Times New Roman" w:hAnsi="Times New Roman"/>
          <w:sz w:val="28"/>
          <w:szCs w:val="28"/>
          <w:lang w:val="en-US"/>
        </w:rPr>
        <w:t xml:space="preserve"> (L4 – S1).</w:t>
      </w:r>
    </w:p>
    <w:p>
      <w:pPr>
        <w:pStyle w:val="Normal"/>
        <w:spacing w:lineRule="auto" w:line="360"/>
        <w:rPr>
          <w:rFonts w:ascii="Times New Roman" w:hAnsi="Times New Roman" w:cs="Times New Roman"/>
          <w:b/>
          <w:sz w:val="28"/>
          <w:szCs w:val="28"/>
          <w:lang w:val="ru-RU"/>
        </w:rPr>
      </w:pPr>
      <w:r>
        <w:rPr>
          <w:rFonts w:cs="Times New Roman"/>
          <w:b/>
          <w:sz w:val="28"/>
          <w:szCs w:val="28"/>
          <w:lang w:val="en-US"/>
        </w:rPr>
      </w:r>
    </w:p>
    <w:p>
      <w:pPr>
        <w:pStyle w:val="Normal"/>
        <w:spacing w:lineRule="auto" w:line="360"/>
        <w:ind w:left="360" w:hanging="0"/>
        <w:jc w:val="center"/>
        <w:rPr>
          <w:rFonts w:ascii="Times New Roman" w:hAnsi="Times New Roman" w:cs="Times New Roman"/>
          <w:b/>
          <w:sz w:val="28"/>
          <w:szCs w:val="28"/>
          <w:lang w:val="ru-RU"/>
        </w:rPr>
      </w:pPr>
      <w:r>
        <w:rPr>
          <w:b/>
          <w:sz w:val="32"/>
          <w:szCs w:val="32"/>
        </w:rPr>
        <w:t xml:space="preserve">2. ЕТИОЛОГИЯ, ПАТОГЕНЕЗА, ДИАГНОСТИКА И КЛИНИЧНА КАРТИНА НА КИФОТИЧНАТА ДЕФОРМАЦИЯ  </w:t>
      </w:r>
    </w:p>
    <w:p>
      <w:pPr>
        <w:pStyle w:val="Normal"/>
        <w:spacing w:lineRule="auto" w:line="360"/>
        <w:ind w:left="360" w:hanging="0"/>
        <w:jc w:val="center"/>
        <w:rPr>
          <w:rFonts w:ascii="Times New Roman" w:hAnsi="Times New Roman" w:cs="Times New Roman"/>
          <w:b/>
          <w:sz w:val="28"/>
          <w:szCs w:val="28"/>
          <w:lang w:val="ru-RU"/>
        </w:rPr>
      </w:pPr>
      <w:r>
        <w:rPr>
          <w:b/>
          <w:sz w:val="36"/>
          <w:szCs w:val="36"/>
        </w:rPr>
      </w:r>
    </w:p>
    <w:p>
      <w:pPr>
        <w:pStyle w:val="Normal"/>
        <w:spacing w:lineRule="auto" w:line="360"/>
        <w:ind w:left="360" w:hanging="0"/>
        <w:jc w:val="center"/>
        <w:rPr>
          <w:rFonts w:ascii="Times New Roman" w:hAnsi="Times New Roman" w:cs="Times New Roman"/>
          <w:b/>
          <w:sz w:val="28"/>
          <w:szCs w:val="28"/>
          <w:lang w:val="ru-RU"/>
        </w:rPr>
      </w:pPr>
      <w:r>
        <w:rPr>
          <w:b/>
          <w:sz w:val="36"/>
          <w:szCs w:val="36"/>
        </w:rPr>
      </w:r>
    </w:p>
    <w:p>
      <w:pPr>
        <w:pStyle w:val="PlainText"/>
        <w:spacing w:lineRule="auto" w:line="360"/>
        <w:ind w:firstLine="360"/>
        <w:jc w:val="both"/>
        <w:rPr>
          <w:rFonts w:ascii="Times New Roman" w:hAnsi="Times New Roman" w:cs="Times New Roman"/>
          <w:b/>
          <w:sz w:val="28"/>
          <w:szCs w:val="28"/>
          <w:lang w:val="ru-RU"/>
        </w:rPr>
      </w:pPr>
      <w:r>
        <w:rPr>
          <w:rFonts w:cs="Times New Roman" w:ascii="Times New Roman" w:hAnsi="Times New Roman"/>
          <w:sz w:val="28"/>
          <w:szCs w:val="28"/>
          <w:lang w:val="ru-RU"/>
        </w:rPr>
        <w:t>В зависимост от причините предизвикващи кифотичната деформация се различават вродени и придобити кифози. Вродените кифози обикновено имат като патогенезен фактор клиновидни малоформации или прешленови блокове. Тяхното лечение е изключително оперативно. Разнообразието в причините на придобитите кифотични деформации е голямо: състояние след туберкулни спондилити и травматични увреждания; кифози от неврогенен произход (сирингомиелия; церебрални парализи) кифози като симптом при спондилоепифизарна дисплазия или хондродистрофия и др. Обособена и най-многочислена е групата на кифозите развиваща се на основата на острохондропатията.</w:t>
      </w:r>
    </w:p>
    <w:p>
      <w:pPr>
        <w:pStyle w:val="PlainText"/>
        <w:spacing w:lineRule="auto" w:line="360"/>
        <w:ind w:firstLine="360"/>
        <w:jc w:val="both"/>
        <w:rPr>
          <w:rFonts w:ascii="Times New Roman" w:hAnsi="Times New Roman" w:cs="Times New Roman"/>
          <w:b/>
          <w:sz w:val="28"/>
          <w:szCs w:val="28"/>
          <w:lang w:val="ru-RU"/>
        </w:rPr>
      </w:pPr>
      <w:r>
        <w:rPr>
          <w:rFonts w:cs="Times New Roman" w:ascii="Times New Roman" w:hAnsi="Times New Roman"/>
          <w:sz w:val="28"/>
          <w:szCs w:val="28"/>
          <w:lang w:val="ru-RU"/>
        </w:rPr>
        <w:t>Дъгообразната фиксирана кифотична деформация на гръбначния стълб в сагиталната равнина е позната като юношеска кифоза. Като болестен процес често протича безболезнено и за това се проявява едва при изразеност на деформацията. За разлика от сколиозата, която се среща 3-4 пъти по - често при момичетата, то кифозата е 3-4 пъти по-често срещана при момчетата.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За честотата на кифотичните изкривявания има значително по-малко изследвания. Причина за това е че учениците с кифози търсят медицинска помощ едва при появата на груба деформация или при болезненост в някои от сегментите на гръбначния стълб.</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Wassman</w:t>
      </w:r>
      <w:r>
        <w:rPr>
          <w:rFonts w:cs="Times New Roman" w:ascii="Times New Roman" w:hAnsi="Times New Roman"/>
          <w:sz w:val="28"/>
          <w:szCs w:val="28"/>
          <w:lang w:val="ru-RU"/>
        </w:rPr>
        <w:t xml:space="preserve"> (1951 г.) установява юношеска кифоза в 3.2 % от изследваните 1500 ученика. </w:t>
      </w:r>
      <w:r>
        <w:rPr>
          <w:rFonts w:cs="Times New Roman" w:ascii="Times New Roman" w:hAnsi="Times New Roman"/>
          <w:b/>
          <w:sz w:val="28"/>
          <w:szCs w:val="28"/>
          <w:lang w:val="en-US"/>
        </w:rPr>
        <w:t xml:space="preserve">Dameron </w:t>
      </w:r>
      <w:r>
        <w:rPr>
          <w:rFonts w:cs="Times New Roman" w:ascii="Times New Roman" w:hAnsi="Times New Roman"/>
          <w:b/>
          <w:sz w:val="28"/>
          <w:szCs w:val="28"/>
        </w:rPr>
        <w:t xml:space="preserve"> и </w:t>
      </w:r>
      <w:r>
        <w:rPr>
          <w:rFonts w:cs="Times New Roman" w:ascii="Times New Roman" w:hAnsi="Times New Roman"/>
          <w:b/>
          <w:sz w:val="28"/>
          <w:szCs w:val="28"/>
          <w:lang w:val="en-US"/>
        </w:rPr>
        <w:t>Gulleolge</w:t>
      </w:r>
      <w:r>
        <w:rPr>
          <w:rFonts w:cs="Times New Roman" w:ascii="Times New Roman" w:hAnsi="Times New Roman"/>
          <w:sz w:val="28"/>
          <w:szCs w:val="28"/>
          <w:lang w:val="ru-RU"/>
        </w:rPr>
        <w:t xml:space="preserve"> (1953 г.) при клинични изследвания на 1000 деца и подрастващи откриват заболяването при 8,3 % от случаите. Рентгенологично диагнозата се потвърждава в 6.1 % от случаите. Очевидно разликата се дължи на грешки в клиничната диагностика, която не трябва да се приема като достатъчна.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К. Н</w:t>
      </w:r>
      <w:r>
        <w:rPr>
          <w:rFonts w:cs="Times New Roman" w:ascii="Times New Roman" w:hAnsi="Times New Roman"/>
          <w:sz w:val="28"/>
          <w:szCs w:val="28"/>
          <w:lang w:val="ru-RU"/>
        </w:rPr>
        <w:t xml:space="preserve">. </w:t>
      </w:r>
      <w:r>
        <w:rPr>
          <w:rFonts w:cs="Times New Roman" w:ascii="Times New Roman" w:hAnsi="Times New Roman"/>
          <w:b/>
          <w:sz w:val="28"/>
          <w:szCs w:val="28"/>
          <w:lang w:val="en-US"/>
        </w:rPr>
        <w:t>Sorenson</w:t>
      </w:r>
      <w:r>
        <w:rPr>
          <w:rFonts w:cs="Times New Roman" w:ascii="Times New Roman" w:hAnsi="Times New Roman"/>
          <w:sz w:val="28"/>
          <w:szCs w:val="28"/>
          <w:lang w:val="ru-RU"/>
        </w:rPr>
        <w:t xml:space="preserve"> (1964 г.) при масови прегледи на новобранци намира, че честотата на юношеската кифоза възлиза на 8.3 %. Според </w:t>
      </w:r>
      <w:r>
        <w:rPr>
          <w:rFonts w:cs="Times New Roman" w:ascii="Times New Roman" w:hAnsi="Times New Roman"/>
          <w:b/>
          <w:sz w:val="28"/>
          <w:szCs w:val="28"/>
          <w:lang w:val="en-US"/>
        </w:rPr>
        <w:t xml:space="preserve">D. Drumond </w:t>
      </w:r>
      <w:r>
        <w:rPr>
          <w:rFonts w:cs="Times New Roman" w:ascii="Times New Roman" w:hAnsi="Times New Roman"/>
          <w:sz w:val="28"/>
          <w:szCs w:val="28"/>
          <w:lang w:val="ru-RU"/>
        </w:rPr>
        <w:t xml:space="preserve">(1979 г.) статистическите данни за разпространение на кифотичните деформации, се движат от 0.4 % до 8.3 %. </w:t>
      </w:r>
      <w:r>
        <w:rPr>
          <w:rFonts w:cs="Times New Roman" w:ascii="Times New Roman" w:hAnsi="Times New Roman"/>
          <w:b/>
          <w:sz w:val="28"/>
          <w:szCs w:val="28"/>
          <w:lang w:val="en-US"/>
        </w:rPr>
        <w:t xml:space="preserve">P. Stagnara </w:t>
      </w:r>
      <w:r>
        <w:rPr>
          <w:rFonts w:cs="Times New Roman" w:ascii="Times New Roman" w:hAnsi="Times New Roman"/>
          <w:sz w:val="28"/>
          <w:szCs w:val="28"/>
          <w:lang w:val="ru-RU"/>
        </w:rPr>
        <w:t xml:space="preserve"> (1973 г.) намира висока честота от 40 %.</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Различията в данните за честотата на кифозите при различните автори, най-вероятно се дължат в нееднаквите методи за диагностика и различие във възрастовия диапазон на изследваните контингенти. В литературата липсват данни за разпространението на тези заболявания в различните части на света, което би дало информация за корелацията им с екологичните фактори на околната среда или с расата.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Етиологията на кифотичната деформация е все още неизяснена. Продължават да се обсъждат ендокринни генетични и механични фактори.</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Първото описание на фиксиран кръгъл гръб възникващо в резултат от непълноценност на структурите на гръбначния стълб е направено от </w:t>
      </w:r>
      <w:r>
        <w:rPr>
          <w:rFonts w:cs="Times New Roman" w:ascii="Times New Roman" w:hAnsi="Times New Roman"/>
          <w:b/>
          <w:sz w:val="28"/>
          <w:szCs w:val="28"/>
          <w:lang w:val="en-US"/>
        </w:rPr>
        <w:t xml:space="preserve">Shulthess </w:t>
      </w:r>
      <w:r>
        <w:rPr>
          <w:rFonts w:cs="Times New Roman" w:ascii="Times New Roman" w:hAnsi="Times New Roman"/>
          <w:sz w:val="28"/>
          <w:szCs w:val="28"/>
          <w:lang w:val="ru-RU"/>
        </w:rPr>
        <w:t xml:space="preserve"> в 1905 г.</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Schanz</w:t>
      </w:r>
      <w:r>
        <w:rPr>
          <w:rFonts w:cs="Times New Roman" w:ascii="Times New Roman" w:hAnsi="Times New Roman"/>
          <w:sz w:val="28"/>
          <w:szCs w:val="28"/>
          <w:lang w:val="ru-RU"/>
        </w:rPr>
        <w:t xml:space="preserve">, изследвайки болни ученици с кифотична деформация свързва нейното  развитие с изразена мускулна инсуфициентност и я нарича  </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училищна</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 xml:space="preserve">Spitzy </w:t>
      </w:r>
      <w:r>
        <w:rPr>
          <w:rFonts w:cs="Times New Roman" w:ascii="Times New Roman" w:hAnsi="Times New Roman"/>
          <w:sz w:val="28"/>
          <w:szCs w:val="28"/>
        </w:rPr>
        <w:t>разг</w:t>
      </w:r>
      <w:r>
        <w:rPr>
          <w:rFonts w:cs="Times New Roman" w:ascii="Times New Roman" w:hAnsi="Times New Roman"/>
          <w:sz w:val="28"/>
          <w:szCs w:val="28"/>
          <w:lang w:val="ru-RU"/>
        </w:rPr>
        <w:t>лежда заболяването като силно изразен дефект на стойката и го назовава " професионална кифоза ".</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В болшинството изследвания обаче, се подчертава, че началните изменения възникват непосредствено в опорните елементи на гръбначния стълб -  прешлените. Тези теории свързват генезата на деформацията с първично нарушение растежа на прешленовото тяло в епифизарните пластинки </w:t>
      </w:r>
      <w:r>
        <w:rPr>
          <w:rFonts w:cs="Times New Roman" w:ascii="Times New Roman" w:hAnsi="Times New Roman"/>
          <w:b/>
          <w:sz w:val="28"/>
          <w:szCs w:val="28"/>
          <w:lang w:val="en-US"/>
        </w:rPr>
        <w:t>Riser, Ferguson</w:t>
      </w:r>
      <w:r>
        <w:rPr>
          <w:rFonts w:cs="Times New Roman" w:ascii="Times New Roman" w:hAnsi="Times New Roman"/>
          <w:sz w:val="28"/>
          <w:szCs w:val="28"/>
          <w:lang w:val="ru-RU"/>
        </w:rPr>
        <w:t xml:space="preserve"> ( 1955 г.).</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Биохимични изследвания (</w:t>
      </w:r>
      <w:r>
        <w:rPr>
          <w:rFonts w:cs="Times New Roman" w:ascii="Times New Roman" w:hAnsi="Times New Roman"/>
          <w:b/>
          <w:sz w:val="28"/>
          <w:szCs w:val="28"/>
          <w:lang w:val="ru-RU"/>
        </w:rPr>
        <w:t>Ва</w:t>
      </w:r>
      <w:r>
        <w:rPr>
          <w:rFonts w:cs="Times New Roman" w:ascii="Times New Roman" w:hAnsi="Times New Roman"/>
          <w:b/>
          <w:sz w:val="28"/>
          <w:szCs w:val="28"/>
          <w:lang w:val="en-US"/>
        </w:rPr>
        <w:t>l</w:t>
      </w:r>
      <w:r>
        <w:rPr>
          <w:rFonts w:cs="Times New Roman" w:ascii="Times New Roman" w:hAnsi="Times New Roman"/>
          <w:b/>
          <w:sz w:val="28"/>
          <w:szCs w:val="28"/>
          <w:lang w:val="ru-RU"/>
        </w:rPr>
        <w:t>а</w:t>
      </w:r>
      <w:r>
        <w:rPr>
          <w:rFonts w:cs="Times New Roman" w:ascii="Times New Roman" w:hAnsi="Times New Roman"/>
          <w:b/>
          <w:sz w:val="28"/>
          <w:szCs w:val="28"/>
          <w:lang w:val="en-US"/>
        </w:rPr>
        <w:t>b</w:t>
      </w:r>
      <w:r>
        <w:rPr>
          <w:rFonts w:cs="Times New Roman" w:ascii="Times New Roman" w:hAnsi="Times New Roman"/>
          <w:b/>
          <w:sz w:val="28"/>
          <w:szCs w:val="28"/>
          <w:lang w:val="ru-RU"/>
        </w:rPr>
        <w:t>а</w:t>
      </w:r>
      <w:r>
        <w:rPr>
          <w:rFonts w:cs="Times New Roman" w:ascii="Times New Roman" w:hAnsi="Times New Roman"/>
          <w:sz w:val="28"/>
          <w:szCs w:val="28"/>
          <w:lang w:val="ru-RU"/>
        </w:rPr>
        <w:t xml:space="preserve"> - 1974г.) установяват метаболитни нарушения в посока обмена на гликозамини и мукополизахариди при болни с деформации на гръбначния стълб. Доколкото в пубертетния период се наблюдава бурно развитие на целия организъм, може да се допусне известен дисбаланс в общия метаболизъм, обуславящ все още неясните в етиопатично отношение изменения в епифизарните зони на прешлените в гръден кош, които водят до кифотичното му деформиране.</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Много изследователи разглеждат етиопатията във връзка с измененията в нервно-мускулния апарат. </w:t>
      </w:r>
      <w:r>
        <w:rPr>
          <w:rFonts w:cs="Times New Roman" w:ascii="Times New Roman" w:hAnsi="Times New Roman"/>
          <w:b/>
          <w:sz w:val="28"/>
          <w:szCs w:val="28"/>
          <w:lang w:val="en-US"/>
        </w:rPr>
        <w:t xml:space="preserve">Ridle, Roaf </w:t>
      </w:r>
      <w:r>
        <w:rPr>
          <w:rFonts w:cs="Times New Roman" w:ascii="Times New Roman" w:hAnsi="Times New Roman"/>
          <w:sz w:val="28"/>
          <w:szCs w:val="28"/>
        </w:rPr>
        <w:t>(1955</w:t>
      </w:r>
      <w:r>
        <w:rPr>
          <w:rFonts w:cs="Times New Roman" w:ascii="Times New Roman" w:hAnsi="Times New Roman"/>
          <w:sz w:val="28"/>
          <w:szCs w:val="28"/>
          <w:lang w:val="ru-RU"/>
        </w:rPr>
        <w:t xml:space="preserve">г.) след извършени електромиографски наблюдения стигат до извода, че неравномерната активност на дълбоките гръбни мускули и мускулите на трупа като цяло са в основата на етиологията на гръбначните деформации. Една от най-популярните теории за произхода на юношеската кифоза е  патогенетичната на </w:t>
      </w:r>
      <w:r>
        <w:rPr>
          <w:rFonts w:cs="Times New Roman" w:ascii="Times New Roman" w:hAnsi="Times New Roman"/>
          <w:b/>
          <w:sz w:val="28"/>
          <w:szCs w:val="28"/>
          <w:lang w:val="en-US"/>
        </w:rPr>
        <w:t>Shoerman -  Mau</w:t>
      </w:r>
      <w:r>
        <w:rPr>
          <w:rFonts w:cs="Times New Roman" w:ascii="Times New Roman" w:hAnsi="Times New Roman"/>
          <w:sz w:val="28"/>
          <w:szCs w:val="28"/>
          <w:lang w:val="ru-RU"/>
        </w:rPr>
        <w:t>.</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Увеличената дорзална кифоза при юношите отдавна е привличала вниманието на лекарите и те са търсели причините и. Като такива са посочвани прекомерно натоварване на гръбначния стълб с тежка физическа работа или спорт, мускулна инсуфициентност, фиксиран кръгъл гръб, лека форма туберкулозен спондилит и др.</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В 1921г. датския лекар </w:t>
      </w:r>
      <w:r>
        <w:rPr>
          <w:rFonts w:cs="Times New Roman" w:ascii="Times New Roman" w:hAnsi="Times New Roman"/>
          <w:b/>
          <w:sz w:val="28"/>
          <w:szCs w:val="28"/>
          <w:lang w:val="en-US"/>
        </w:rPr>
        <w:t>Holgar Shoerman</w:t>
      </w:r>
      <w:r>
        <w:rPr>
          <w:rFonts w:cs="Times New Roman" w:ascii="Times New Roman" w:hAnsi="Times New Roman"/>
          <w:sz w:val="28"/>
          <w:szCs w:val="28"/>
          <w:lang w:val="ru-RU"/>
        </w:rPr>
        <w:t xml:space="preserve"> проследил рентгенологично промените в гръбначния стълб на младежи с гръдна кифоза и с клиновидни прешлени и установил, че преди всичко се засяга предната част на тялото на прешлените, главно горните и долните ръбове, които са хрущялни и според него представляват " зоната или ивицата на растежа ". В пубертетна възраст в тази зона се появява " епифизно ядро ". При някои младежи поради големия натиск от съществуващата физиологична кифоза и натоварването на гръбначния стълб развитието на растежните ядра се нарушава и предната част на телата на прешлените спира или забавя растежа си. Това води до образуване на клиновидни прешлени и до увеличаване на кифозата . Според </w:t>
      </w:r>
      <w:r>
        <w:rPr>
          <w:rFonts w:cs="Times New Roman" w:ascii="Times New Roman" w:hAnsi="Times New Roman"/>
          <w:b/>
          <w:sz w:val="28"/>
          <w:szCs w:val="28"/>
          <w:lang w:val="en-US"/>
        </w:rPr>
        <w:t>Shoerman</w:t>
      </w:r>
      <w:r>
        <w:rPr>
          <w:rFonts w:cs="Times New Roman" w:ascii="Times New Roman" w:hAnsi="Times New Roman"/>
          <w:sz w:val="28"/>
          <w:szCs w:val="28"/>
          <w:lang w:val="ru-RU"/>
        </w:rPr>
        <w:t xml:space="preserve"> в тези случаи е налице същия процес, какъвто се намира и при другите остеохондропатии.</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В 1929г. </w:t>
      </w:r>
      <w:r>
        <w:rPr>
          <w:rFonts w:cs="Times New Roman" w:ascii="Times New Roman" w:hAnsi="Times New Roman"/>
          <w:b/>
          <w:sz w:val="28"/>
          <w:szCs w:val="28"/>
          <w:lang w:val="en-US"/>
        </w:rPr>
        <w:t>Mau</w:t>
      </w:r>
      <w:r>
        <w:rPr>
          <w:rFonts w:cs="Times New Roman" w:ascii="Times New Roman" w:hAnsi="Times New Roman"/>
          <w:sz w:val="28"/>
          <w:szCs w:val="28"/>
          <w:lang w:val="ru-RU"/>
        </w:rPr>
        <w:t xml:space="preserve"> експериментално доказва, че при постоянно натискане върху ръбовете на прешлените в тях могат да се получат промени, каквито могат да се наблюдават при болестта на</w:t>
      </w:r>
      <w:r>
        <w:rPr>
          <w:rFonts w:cs="Times New Roman" w:ascii="Times New Roman" w:hAnsi="Times New Roman"/>
          <w:b/>
          <w:sz w:val="28"/>
          <w:szCs w:val="28"/>
          <w:lang w:val="en-US"/>
        </w:rPr>
        <w:t xml:space="preserve"> Shoerman</w:t>
      </w:r>
      <w:r>
        <w:rPr>
          <w:rFonts w:cs="Times New Roman" w:ascii="Times New Roman" w:hAnsi="Times New Roman"/>
          <w:sz w:val="28"/>
          <w:szCs w:val="28"/>
          <w:lang w:val="ru-RU"/>
        </w:rPr>
        <w:t xml:space="preserve">. Тази хипотеза намери широко признание, но срещу нея има и възражения. </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b/>
          <w:sz w:val="28"/>
          <w:szCs w:val="28"/>
          <w:lang w:val="en-US"/>
        </w:rPr>
        <w:t xml:space="preserve">Schmorl </w:t>
      </w:r>
      <w:r>
        <w:rPr>
          <w:rFonts w:cs="Times New Roman" w:ascii="Times New Roman" w:hAnsi="Times New Roman"/>
          <w:sz w:val="28"/>
          <w:szCs w:val="28"/>
          <w:lang w:val="ru-RU"/>
        </w:rPr>
        <w:t xml:space="preserve">изучавайки патологоанатомичните промени в гръбначния стълб, счита че основните паталогични процеси при заболяването не са в предните ръбове, а по цялата плочка на междупрешленния диск. В някои дискове тя не е равна, а на места е по-тънка и по-слаба. Там тя не издържа налягането на желатиноподобното ядро на диска, пропуква се и в пукнатините прониква съдържанието на диска, което после прониква и в спонгиозата на прешлена. Получените протрузии или Шморловите възли водят до дегенерация на диска. Той се снижава, предните ръбове на телата на прешлените се доближават и натискът върху тях се увеличава, което води до дегенеративни промени от типа на остеохондрозата. Растежът в предната част на телата спира и те стават клиновидни, а дискът фиброзира и кифозата се фиксира. Тази хипотеза се подкрепя от изследванията на             </w:t>
      </w:r>
      <w:r>
        <w:rPr>
          <w:rFonts w:cs="Times New Roman" w:ascii="Times New Roman" w:hAnsi="Times New Roman"/>
          <w:b/>
          <w:sz w:val="28"/>
          <w:szCs w:val="28"/>
          <w:lang w:val="en-US"/>
        </w:rPr>
        <w:t>Aufdermauer</w:t>
      </w:r>
      <w:r>
        <w:rPr>
          <w:rFonts w:cs="Times New Roman" w:ascii="Times New Roman" w:hAnsi="Times New Roman"/>
          <w:sz w:val="28"/>
          <w:szCs w:val="28"/>
          <w:lang w:val="ru-RU"/>
        </w:rPr>
        <w:t xml:space="preserve"> -1964г., който хистологично със специално оцветяване е намерил, че след 4 годишна възраст в хрущялните плочки на някои от междупрешленните дискове започват да се откриват полета с нарушена фиброзна система, която армира хиалинния хрущял. На тези места здравината на хрущяла е намалена и се издува под натиска на желатинообразното ядро. След като се появи костна реакция около тези хрущялни хернии, те стават видими на рентген като Шморлови възли.</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Много автори считат наследствеността като етиологичен фактор (</w:t>
      </w:r>
      <w:r>
        <w:rPr>
          <w:rFonts w:cs="Times New Roman" w:ascii="Times New Roman" w:hAnsi="Times New Roman"/>
          <w:b/>
          <w:sz w:val="28"/>
          <w:szCs w:val="28"/>
          <w:lang w:val="en-US"/>
        </w:rPr>
        <w:t>P. Stagnara; I. Broher; Ratke; K. Sorenson</w:t>
      </w:r>
      <w:r>
        <w:rPr>
          <w:rFonts w:cs="Times New Roman" w:ascii="Times New Roman" w:hAnsi="Times New Roman"/>
          <w:sz w:val="28"/>
          <w:szCs w:val="28"/>
          <w:lang w:val="ru-RU"/>
        </w:rPr>
        <w:t>). Според тях се наследява предиспозицията към заболяването, а деформациите възникват в резултат на пренатоварване.</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Ендокринните нарушения, настъпващи в пубертетния период с признаци на забавено или нарушено полово съзряване се сочат също като причина за развитието на кифотичната деформация. Интересни данни в този смисъл представят </w:t>
      </w:r>
      <w:r>
        <w:rPr>
          <w:rFonts w:cs="Times New Roman" w:ascii="Times New Roman" w:hAnsi="Times New Roman"/>
          <w:b/>
          <w:sz w:val="28"/>
          <w:szCs w:val="28"/>
          <w:lang w:val="en-US"/>
        </w:rPr>
        <w:t>Mathias</w:t>
      </w:r>
      <w:r>
        <w:rPr>
          <w:rFonts w:cs="Times New Roman" w:ascii="Times New Roman" w:hAnsi="Times New Roman"/>
          <w:b/>
          <w:sz w:val="28"/>
          <w:szCs w:val="28"/>
        </w:rPr>
        <w:t xml:space="preserve"> </w:t>
      </w:r>
      <w:r>
        <w:rPr>
          <w:rFonts w:cs="Times New Roman" w:ascii="Times New Roman" w:hAnsi="Times New Roman"/>
          <w:sz w:val="28"/>
          <w:szCs w:val="28"/>
        </w:rPr>
        <w:t>и</w:t>
      </w:r>
      <w:r>
        <w:rPr>
          <w:rFonts w:cs="Times New Roman" w:ascii="Times New Roman" w:hAnsi="Times New Roman"/>
          <w:b/>
          <w:sz w:val="28"/>
          <w:szCs w:val="28"/>
          <w:lang w:val="en-US"/>
        </w:rPr>
        <w:t xml:space="preserve"> Hepp</w:t>
      </w:r>
      <w:r>
        <w:rPr>
          <w:rFonts w:cs="Times New Roman" w:ascii="Times New Roman" w:hAnsi="Times New Roman"/>
          <w:sz w:val="28"/>
          <w:szCs w:val="28"/>
          <w:lang w:val="ru-RU"/>
        </w:rPr>
        <w:t>, като намират в 22 болни от мъжки пол признаци на недоразвитие на половите жлези, а в 31 случаи от женски пол задържане на половото съзряване.</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 xml:space="preserve">Nathan </w:t>
      </w:r>
      <w:r>
        <w:rPr>
          <w:rFonts w:cs="Times New Roman" w:ascii="Times New Roman" w:hAnsi="Times New Roman"/>
          <w:sz w:val="28"/>
          <w:szCs w:val="28"/>
        </w:rPr>
        <w:t>и</w:t>
      </w:r>
      <w:r>
        <w:rPr>
          <w:rFonts w:cs="Times New Roman" w:ascii="Times New Roman" w:hAnsi="Times New Roman"/>
          <w:b/>
          <w:sz w:val="28"/>
          <w:szCs w:val="28"/>
          <w:lang w:val="en-US"/>
        </w:rPr>
        <w:t xml:space="preserve"> Kuhus</w:t>
      </w:r>
      <w:r>
        <w:rPr>
          <w:rFonts w:cs="Times New Roman" w:ascii="Times New Roman" w:hAnsi="Times New Roman"/>
          <w:sz w:val="28"/>
          <w:szCs w:val="28"/>
          <w:lang w:val="ru-RU"/>
        </w:rPr>
        <w:t xml:space="preserve"> (1940г.) установяват наследственост в развитието на кифозите в 19%; </w:t>
      </w:r>
      <w:r>
        <w:rPr>
          <w:rFonts w:cs="Times New Roman" w:ascii="Times New Roman" w:hAnsi="Times New Roman"/>
          <w:b/>
          <w:sz w:val="28"/>
          <w:szCs w:val="28"/>
          <w:lang w:val="en-US"/>
        </w:rPr>
        <w:t>Henricsson</w:t>
      </w:r>
      <w:r>
        <w:rPr>
          <w:rFonts w:cs="Times New Roman" w:ascii="Times New Roman" w:hAnsi="Times New Roman"/>
          <w:sz w:val="28"/>
          <w:szCs w:val="28"/>
          <w:lang w:val="ru-RU"/>
        </w:rPr>
        <w:t xml:space="preserve"> (1943г.) при изследване на 366 болни от ки</w:t>
      </w:r>
      <w:r>
        <w:rPr>
          <w:rFonts w:cs="Times New Roman" w:ascii="Times New Roman" w:hAnsi="Times New Roman"/>
          <w:sz w:val="28"/>
          <w:szCs w:val="28"/>
        </w:rPr>
        <w:t>ф</w:t>
      </w:r>
      <w:r>
        <w:rPr>
          <w:rFonts w:cs="Times New Roman" w:ascii="Times New Roman" w:hAnsi="Times New Roman"/>
          <w:sz w:val="28"/>
          <w:szCs w:val="28"/>
          <w:lang w:val="ru-RU"/>
        </w:rPr>
        <w:t>оза намира наследственост в 39 % от случаите.</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В последно време се увеличиха изследванията върху вродената съединително тъканна малостойност (В. С. Т. М.). Много от авторите на изследванията в тази материя изказват предположение, че в структурните деформации на гръбначния стълб, в това число и кифозата се откриват симптоми на В. С. Т. М., като ги обясняват с патологични изменения и слабост в интер и интравертебралния мускулно - лигаментарен апарат: (</w:t>
      </w:r>
      <w:r>
        <w:rPr>
          <w:rFonts w:cs="Times New Roman" w:ascii="Times New Roman" w:hAnsi="Times New Roman"/>
          <w:b/>
          <w:sz w:val="28"/>
          <w:szCs w:val="28"/>
          <w:lang w:val="ru-RU"/>
        </w:rPr>
        <w:t>Милковска -Димитрова, Каракашов</w:t>
      </w:r>
      <w:r>
        <w:rPr>
          <w:rFonts w:cs="Times New Roman" w:ascii="Times New Roman" w:hAnsi="Times New Roman"/>
          <w:sz w:val="28"/>
          <w:szCs w:val="28"/>
          <w:lang w:val="ru-RU"/>
        </w:rPr>
        <w:t xml:space="preserve"> 1987г.)</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ПАТОГЕНЕЗА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Динамиката на патогенезата на заболяването най-обективно може да се проследи по някои рентгено-анатомични признаци. При юношеската кифоза анатомични изменения се наблюдават в един, два, три, а в тежките случаи и четири прешлена. По данни на </w:t>
      </w:r>
      <w:r>
        <w:rPr>
          <w:rFonts w:cs="Times New Roman" w:ascii="Times New Roman" w:hAnsi="Times New Roman"/>
          <w:b/>
          <w:sz w:val="28"/>
          <w:szCs w:val="28"/>
          <w:lang w:val="en-US"/>
        </w:rPr>
        <w:t>Shoerman</w:t>
      </w:r>
      <w:r>
        <w:rPr>
          <w:rFonts w:cs="Times New Roman" w:ascii="Times New Roman" w:hAnsi="Times New Roman"/>
          <w:sz w:val="28"/>
          <w:szCs w:val="28"/>
          <w:lang w:val="ru-RU"/>
        </w:rPr>
        <w:t>, изследвал 41 случая, изменения на един прешлен са намерени в 12 % ;  в два прешлена в 51 % и на три прешлена в 22 %.</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Относителната локализация на поражение на прешленовите тела при остеохондропатията по </w:t>
      </w:r>
      <w:r>
        <w:rPr>
          <w:rFonts w:cs="Times New Roman" w:ascii="Times New Roman" w:hAnsi="Times New Roman"/>
          <w:b/>
          <w:sz w:val="28"/>
          <w:szCs w:val="28"/>
          <w:lang w:val="en-US"/>
        </w:rPr>
        <w:t>Sörenson</w:t>
      </w:r>
      <w:r>
        <w:rPr>
          <w:rFonts w:cs="Times New Roman" w:ascii="Times New Roman" w:hAnsi="Times New Roman"/>
          <w:sz w:val="28"/>
          <w:szCs w:val="28"/>
          <w:lang w:val="en-US"/>
        </w:rPr>
        <w:t xml:space="preserve"> </w:t>
      </w:r>
      <w:r>
        <w:rPr>
          <w:rFonts w:cs="Times New Roman" w:ascii="Times New Roman" w:hAnsi="Times New Roman"/>
          <w:sz w:val="28"/>
          <w:szCs w:val="28"/>
        </w:rPr>
        <w:t xml:space="preserve">има следния вид: </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rPr>
      </w:r>
    </w:p>
    <w:tbl>
      <w:tblPr>
        <w:tblW w:w="9288" w:type="dxa"/>
        <w:jc w:val="left"/>
        <w:tblInd w:w="0" w:type="dxa"/>
        <w:tblLayout w:type="fixed"/>
        <w:tblCellMar>
          <w:top w:w="0" w:type="dxa"/>
          <w:left w:w="108" w:type="dxa"/>
          <w:bottom w:w="0" w:type="dxa"/>
          <w:right w:w="108" w:type="dxa"/>
        </w:tblCellMar>
      </w:tblPr>
      <w:tblGrid>
        <w:gridCol w:w="1136"/>
        <w:gridCol w:w="839"/>
        <w:gridCol w:w="541"/>
        <w:gridCol w:w="541"/>
        <w:gridCol w:w="541"/>
        <w:gridCol w:w="541"/>
        <w:gridCol w:w="541"/>
        <w:gridCol w:w="541"/>
        <w:gridCol w:w="639"/>
        <w:gridCol w:w="639"/>
        <w:gridCol w:w="639"/>
        <w:gridCol w:w="460"/>
        <w:gridCol w:w="443"/>
        <w:gridCol w:w="443"/>
        <w:gridCol w:w="804"/>
      </w:tblGrid>
      <w:tr>
        <w:trPr/>
        <w:tc>
          <w:tcPr>
            <w:tcW w:w="1136"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b/>
                <w:sz w:val="24"/>
                <w:szCs w:val="24"/>
              </w:rPr>
            </w:pPr>
            <w:r>
              <w:rPr>
                <w:rFonts w:cs="Times New Roman" w:ascii="Times New Roman" w:hAnsi="Times New Roman"/>
                <w:b/>
                <w:sz w:val="24"/>
                <w:szCs w:val="24"/>
              </w:rPr>
              <w:t>автор</w:t>
            </w:r>
          </w:p>
        </w:tc>
        <w:tc>
          <w:tcPr>
            <w:tcW w:w="8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b/>
                <w:lang w:val="en-US"/>
              </w:rPr>
            </w:pPr>
            <w:r>
              <w:rPr>
                <w:rFonts w:cs="Times New Roman" w:ascii="Times New Roman" w:hAnsi="Times New Roman"/>
                <w:b/>
              </w:rPr>
              <w:t>година</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Th4</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Th5</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Th6</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Th7</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Th8</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Th9</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Th10</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Th11</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Th12</w:t>
            </w:r>
          </w:p>
        </w:tc>
        <w:tc>
          <w:tcPr>
            <w:tcW w:w="460"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L1</w:t>
            </w:r>
          </w:p>
        </w:tc>
        <w:tc>
          <w:tcPr>
            <w:tcW w:w="443"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L2</w:t>
            </w:r>
          </w:p>
        </w:tc>
        <w:tc>
          <w:tcPr>
            <w:tcW w:w="443"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lang w:val="en-US"/>
              </w:rPr>
            </w:pPr>
            <w:r>
              <w:rPr>
                <w:rFonts w:cs="Times New Roman" w:ascii="Times New Roman" w:hAnsi="Times New Roman"/>
                <w:lang w:val="en-US"/>
              </w:rPr>
              <w:t>L3</w:t>
            </w:r>
          </w:p>
        </w:tc>
        <w:tc>
          <w:tcPr>
            <w:tcW w:w="804"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rPr>
            </w:pPr>
            <w:r>
              <w:rPr>
                <w:rFonts w:cs="Times New Roman" w:ascii="Times New Roman" w:hAnsi="Times New Roman"/>
              </w:rPr>
              <w:t>всичко</w:t>
            </w:r>
          </w:p>
        </w:tc>
      </w:tr>
      <w:tr>
        <w:trPr/>
        <w:tc>
          <w:tcPr>
            <w:tcW w:w="1136"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b/>
                <w:sz w:val="24"/>
                <w:szCs w:val="24"/>
                <w:lang w:val="en-US"/>
              </w:rPr>
            </w:pPr>
            <w:r>
              <w:rPr>
                <w:rFonts w:cs="Times New Roman" w:ascii="Times New Roman" w:hAnsi="Times New Roman"/>
                <w:b/>
                <w:sz w:val="24"/>
                <w:szCs w:val="24"/>
                <w:lang w:val="en-US"/>
              </w:rPr>
              <w:t>Boerema</w:t>
            </w:r>
          </w:p>
        </w:tc>
        <w:tc>
          <w:tcPr>
            <w:tcW w:w="8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b/>
                <w:sz w:val="24"/>
                <w:szCs w:val="24"/>
                <w:lang w:val="en-US"/>
              </w:rPr>
            </w:pPr>
            <w:r>
              <w:rPr>
                <w:rFonts w:cs="Times New Roman" w:ascii="Times New Roman" w:hAnsi="Times New Roman"/>
                <w:b/>
                <w:sz w:val="24"/>
                <w:szCs w:val="24"/>
                <w:lang w:val="en-US"/>
              </w:rPr>
              <w:t>1931</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5</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12</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23</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28</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21</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12</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6</w:t>
            </w:r>
          </w:p>
        </w:tc>
        <w:tc>
          <w:tcPr>
            <w:tcW w:w="460"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w:t>
            </w:r>
          </w:p>
        </w:tc>
        <w:tc>
          <w:tcPr>
            <w:tcW w:w="443"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w:t>
            </w:r>
          </w:p>
        </w:tc>
        <w:tc>
          <w:tcPr>
            <w:tcW w:w="443"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w:t>
            </w:r>
          </w:p>
        </w:tc>
        <w:tc>
          <w:tcPr>
            <w:tcW w:w="804"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108</w:t>
            </w:r>
          </w:p>
        </w:tc>
      </w:tr>
      <w:tr>
        <w:trPr/>
        <w:tc>
          <w:tcPr>
            <w:tcW w:w="1136"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b/>
                <w:sz w:val="24"/>
                <w:szCs w:val="24"/>
                <w:lang w:val="en-US"/>
              </w:rPr>
            </w:pPr>
            <w:r>
              <w:rPr>
                <w:rFonts w:cs="Times New Roman" w:ascii="Times New Roman" w:hAnsi="Times New Roman"/>
                <w:b/>
                <w:sz w:val="24"/>
                <w:szCs w:val="24"/>
                <w:lang w:val="en-US"/>
              </w:rPr>
              <w:t>Bonne</w:t>
            </w:r>
          </w:p>
        </w:tc>
        <w:tc>
          <w:tcPr>
            <w:tcW w:w="8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b/>
                <w:sz w:val="24"/>
                <w:szCs w:val="24"/>
                <w:lang w:val="en-US"/>
              </w:rPr>
            </w:pPr>
            <w:r>
              <w:rPr>
                <w:rFonts w:cs="Times New Roman" w:ascii="Times New Roman" w:hAnsi="Times New Roman"/>
                <w:b/>
                <w:sz w:val="24"/>
                <w:szCs w:val="24"/>
                <w:lang w:val="en-US"/>
              </w:rPr>
              <w:t>1956</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9</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23</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50</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74</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72</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48</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36</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pPr>
            <w:r>
              <w:rPr>
                <w:rFonts w:cs="Times New Roman" w:ascii="Times New Roman" w:hAnsi="Times New Roman"/>
                <w:b/>
                <w:sz w:val="24"/>
                <w:szCs w:val="24"/>
                <w:lang w:val="en-US"/>
              </w:rPr>
              <w:t>23</w:t>
            </w:r>
          </w:p>
        </w:tc>
        <w:tc>
          <w:tcPr>
            <w:tcW w:w="460"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15</w:t>
            </w:r>
          </w:p>
        </w:tc>
        <w:tc>
          <w:tcPr>
            <w:tcW w:w="443"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6</w:t>
            </w:r>
          </w:p>
        </w:tc>
        <w:tc>
          <w:tcPr>
            <w:tcW w:w="443"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3</w:t>
            </w:r>
          </w:p>
        </w:tc>
        <w:tc>
          <w:tcPr>
            <w:tcW w:w="804"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360</w:t>
            </w:r>
          </w:p>
        </w:tc>
      </w:tr>
      <w:tr>
        <w:trPr/>
        <w:tc>
          <w:tcPr>
            <w:tcW w:w="1136"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b/>
                <w:sz w:val="24"/>
                <w:szCs w:val="24"/>
                <w:lang w:val="en-US"/>
              </w:rPr>
            </w:pPr>
            <w:r>
              <w:rPr>
                <w:rFonts w:cs="Times New Roman" w:ascii="Times New Roman" w:hAnsi="Times New Roman"/>
                <w:b/>
                <w:sz w:val="24"/>
                <w:szCs w:val="24"/>
                <w:lang w:val="en-US"/>
              </w:rPr>
              <w:t>Vissing</w:t>
            </w:r>
          </w:p>
        </w:tc>
        <w:tc>
          <w:tcPr>
            <w:tcW w:w="8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both"/>
              <w:rPr>
                <w:rFonts w:ascii="Times New Roman" w:hAnsi="Times New Roman" w:cs="Times New Roman"/>
                <w:b/>
                <w:sz w:val="24"/>
                <w:szCs w:val="24"/>
                <w:lang w:val="en-US"/>
              </w:rPr>
            </w:pPr>
            <w:r>
              <w:rPr>
                <w:rFonts w:cs="Times New Roman" w:ascii="Times New Roman" w:hAnsi="Times New Roman"/>
                <w:b/>
                <w:sz w:val="24"/>
                <w:szCs w:val="24"/>
                <w:lang w:val="en-US"/>
              </w:rPr>
              <w:t>1939</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2</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10</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15</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22</w:t>
            </w:r>
          </w:p>
        </w:tc>
        <w:tc>
          <w:tcPr>
            <w:tcW w:w="541"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18</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17</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11</w:t>
            </w:r>
          </w:p>
        </w:tc>
        <w:tc>
          <w:tcPr>
            <w:tcW w:w="639"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6</w:t>
            </w:r>
          </w:p>
        </w:tc>
        <w:tc>
          <w:tcPr>
            <w:tcW w:w="460"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3</w:t>
            </w:r>
          </w:p>
        </w:tc>
        <w:tc>
          <w:tcPr>
            <w:tcW w:w="443"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w:t>
            </w:r>
          </w:p>
        </w:tc>
        <w:tc>
          <w:tcPr>
            <w:tcW w:w="443"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w:t>
            </w:r>
          </w:p>
        </w:tc>
        <w:tc>
          <w:tcPr>
            <w:tcW w:w="804" w:type="dxa"/>
            <w:tcBorders>
              <w:top w:val="single" w:sz="4" w:space="0" w:color="000000"/>
              <w:left w:val="single" w:sz="4" w:space="0" w:color="000000"/>
              <w:bottom w:val="single" w:sz="4" w:space="0" w:color="000000"/>
              <w:right w:val="single" w:sz="4" w:space="0" w:color="000000"/>
            </w:tcBorders>
          </w:tcPr>
          <w:p>
            <w:pPr>
              <w:pStyle w:val="PlainText"/>
              <w:spacing w:lineRule="auto" w:line="360"/>
              <w:jc w:val="center"/>
              <w:rPr>
                <w:rFonts w:ascii="Times New Roman" w:hAnsi="Times New Roman" w:cs="Times New Roman"/>
                <w:b/>
                <w:sz w:val="24"/>
                <w:szCs w:val="24"/>
                <w:lang w:val="en-US"/>
              </w:rPr>
            </w:pPr>
            <w:r>
              <w:rPr>
                <w:rFonts w:cs="Times New Roman" w:ascii="Times New Roman" w:hAnsi="Times New Roman"/>
                <w:b/>
                <w:sz w:val="24"/>
                <w:szCs w:val="24"/>
                <w:lang w:val="en-US"/>
              </w:rPr>
              <w:t>104</w:t>
            </w:r>
          </w:p>
        </w:tc>
      </w:tr>
    </w:tbl>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 </w:t>
      </w:r>
      <w:r>
        <w:rPr>
          <w:rFonts w:cs="Times New Roman" w:ascii="Times New Roman" w:hAnsi="Times New Roman"/>
          <w:sz w:val="28"/>
          <w:szCs w:val="28"/>
          <w:lang w:val="ru-RU"/>
        </w:rPr>
        <w:tab/>
        <w:t xml:space="preserve">По класификацията на </w:t>
      </w:r>
      <w:r>
        <w:rPr>
          <w:rFonts w:cs="Times New Roman" w:ascii="Times New Roman" w:hAnsi="Times New Roman"/>
          <w:b/>
          <w:sz w:val="28"/>
          <w:szCs w:val="28"/>
          <w:lang w:val="en-US"/>
        </w:rPr>
        <w:t>Mau</w:t>
      </w:r>
      <w:r>
        <w:rPr>
          <w:rFonts w:cs="Times New Roman" w:ascii="Times New Roman" w:hAnsi="Times New Roman"/>
          <w:sz w:val="28"/>
          <w:szCs w:val="28"/>
          <w:lang w:val="ru-RU"/>
        </w:rPr>
        <w:t xml:space="preserve"> в динамично развитие на кифотична деформация се наблюдават четири фази без строга последователност.</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В първата фаза апофизните зони на телата на прешлените претърпяват типичните за остеохондропатийните изменения. Те стават извити и по-широки отколкото са в норма.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Характерна заобленост се появява и в контура на горната и долна повърхност на телата на прешлените. В по-нататъшно развитие на болестта започват патологични промени в дисковете; намаляване тургура на пулпозното ядро, снижаване на междупрешленното пространство, което довежда до постоянно увеличено налягане върху телата и последващата клиновидна деформация с дефицит в подвижността на засегнатия сегмент.</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Вторият стадий се развива на основата на първия. Наблюдава се ясно изразена деформация на прешленовото тяло под форма на снижаване височината му в предните отдели и задебелени, уплътнени горни и долни повърхности. Костната структура е неправилна, но преобладават повече</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плътни костни участъци. Триъгълната апофизарна сянка в предния отдел на поразения прешлен му придава формата на пресечен отпред конус. Изолирано се откриват фисури и хрущялни протрузии в спонгиозата на прешленовото тяло. Тези изменения са най-изразени в лумбалните прешлени.</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Характеристиката на третия стадий на деформацията се основава на сливането на апофизите с телата на прешлените. Височината на предните отдели е по-голяма отколкото в предходната фаза, но в сравнение с тази на задните стени остава ниска. Клиновидната деформация е ясно проявена и става причина за фиксиране на кифозата. Предните ъгли на телата в този стадий стават остри и изтеглени напред. Патологичните промени засягат и дисковете, особено пулпозните ядра. Появяват се телцата Шморл или шморлови хернии.</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Четвъртият стадий на болестта се проявява с груба структурна деформация под формата на костно-фиброзен блок. Възникват остеофити по предните и странични повърхности на телата, а в отделни случаи при възрастни болни и синостоза между прешлените. Нарушава се целостта на покривните пластинки на телата, което довежда до значителни изменения в междупрешленовите дискове. Междупрешленовите пространства значително се намаляват. При локализация на тези изменения в гръдно-поясния или поясния отдел твърде рано се развива остеохондропатия, чието клинично действие се проявява с болезненост в гръбначния стълб дори при доста ниски натоварвания. </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Отчитайки, че малките степени на кифотична деформация не винаги се проявяват, а имат голямо значение в развитието на остеохондропатиите, особено в ранна възраст, възниква необходимост от обективно измерване величината на кифозата. Нейното определяне се извършва на профилна </w:t>
      </w:r>
      <w:r>
        <w:rPr>
          <w:rFonts w:cs="Times New Roman" w:ascii="Times New Roman" w:hAnsi="Times New Roman"/>
          <w:sz w:val="28"/>
          <w:szCs w:val="28"/>
          <w:lang w:val="en-US"/>
        </w:rPr>
        <w:t>Rö</w:t>
      </w:r>
      <w:r>
        <w:rPr>
          <w:rFonts w:cs="Times New Roman" w:ascii="Times New Roman" w:hAnsi="Times New Roman"/>
          <w:sz w:val="28"/>
          <w:szCs w:val="28"/>
          <w:lang w:val="ru-RU"/>
        </w:rPr>
        <w:t xml:space="preserve"> графия. Прекарват се допирателни на горната повърхност на първия терминален и долната повърхност на последния прешлен в кифотичната </w:t>
      </w:r>
      <w:r>
        <w:rPr>
          <w:rFonts w:cs="Times New Roman" w:ascii="Times New Roman" w:hAnsi="Times New Roman"/>
          <w:sz w:val="28"/>
          <w:szCs w:val="28"/>
        </w:rPr>
        <w:t>д</w:t>
      </w:r>
      <w:r>
        <w:rPr>
          <w:rFonts w:cs="Times New Roman" w:ascii="Times New Roman" w:hAnsi="Times New Roman"/>
          <w:sz w:val="28"/>
          <w:szCs w:val="28"/>
          <w:lang w:val="ru-RU"/>
        </w:rPr>
        <w:t xml:space="preserve">ъга. Пресичането на двете прави определя ъгъла на деформацията. Аналогично се намира и големината на деформация на върховия прешлен.  Когато кифотичната дъга е голяма и не дава техническата възможност за разчертаване по горе описания метод, се използва метода на </w:t>
      </w:r>
      <w:r>
        <w:rPr>
          <w:rFonts w:cs="Times New Roman" w:ascii="Times New Roman" w:hAnsi="Times New Roman"/>
          <w:b/>
          <w:sz w:val="28"/>
          <w:szCs w:val="28"/>
          <w:lang w:val="en-US"/>
        </w:rPr>
        <w:t>Cobb</w:t>
      </w:r>
      <w:r>
        <w:rPr>
          <w:rFonts w:cs="Times New Roman" w:ascii="Times New Roman" w:hAnsi="Times New Roman"/>
          <w:sz w:val="28"/>
          <w:szCs w:val="28"/>
          <w:lang w:val="ru-RU"/>
        </w:rPr>
        <w:t xml:space="preserve"> за определяне величината при сколиози върху профилна </w:t>
      </w:r>
      <w:r>
        <w:rPr>
          <w:rFonts w:cs="Times New Roman" w:ascii="Times New Roman" w:hAnsi="Times New Roman"/>
          <w:sz w:val="28"/>
          <w:szCs w:val="28"/>
          <w:lang w:val="en-US"/>
        </w:rPr>
        <w:t>Rö</w:t>
      </w:r>
      <w:r>
        <w:rPr>
          <w:rFonts w:cs="Times New Roman" w:ascii="Times New Roman" w:hAnsi="Times New Roman"/>
          <w:sz w:val="28"/>
          <w:szCs w:val="28"/>
          <w:lang w:val="ru-RU"/>
        </w:rPr>
        <w:t xml:space="preserve"> графия на гръбначния стълб.</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center"/>
        <w:rPr>
          <w:rFonts w:ascii="Times New Roman" w:hAnsi="Times New Roman" w:cs="Times New Roman"/>
          <w:b/>
          <w:sz w:val="28"/>
          <w:szCs w:val="28"/>
          <w:lang w:val="ru-RU"/>
        </w:rPr>
      </w:pPr>
      <w:r>
        <w:rPr>
          <w:rFonts w:cs="Times New Roman" w:ascii="Times New Roman" w:hAnsi="Times New Roman"/>
          <w:b/>
          <w:sz w:val="28"/>
          <w:szCs w:val="28"/>
          <w:lang w:val="ru-RU"/>
        </w:rPr>
        <w:t>КЛИНИЧНА КАРТИНА,  ДИАГНОСТИКА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b/>
          <w:sz w:val="28"/>
          <w:szCs w:val="28"/>
          <w:lang w:val="ru-RU"/>
        </w:rPr>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Клиничните и рентгенологични белези на болестта се откриват в пубертетната възраст. Единични случаи могат да се открият и преди 10 години, дори на 6 години.</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За юношеската кифоза е характерно изместване на върха на кифотичната деформация в каудална посока, в сравнение с нормалната кифоза на нивото на Т</w:t>
      </w:r>
      <w:r>
        <w:rPr>
          <w:rFonts w:cs="Times New Roman" w:ascii="Times New Roman" w:hAnsi="Times New Roman"/>
          <w:sz w:val="28"/>
          <w:szCs w:val="28"/>
          <w:lang w:val="en-US"/>
        </w:rPr>
        <w:t>h</w:t>
      </w:r>
      <w:r>
        <w:rPr>
          <w:rFonts w:cs="Times New Roman" w:ascii="Times New Roman" w:hAnsi="Times New Roman"/>
          <w:sz w:val="28"/>
          <w:szCs w:val="28"/>
          <w:lang w:val="ru-RU"/>
        </w:rPr>
        <w:t>5). Върхът на юношеската кифоза е обикновено между Т</w:t>
      </w:r>
      <w:r>
        <w:rPr>
          <w:rFonts w:cs="Times New Roman" w:ascii="Times New Roman" w:hAnsi="Times New Roman"/>
          <w:sz w:val="28"/>
          <w:szCs w:val="28"/>
          <w:lang w:val="en-US"/>
        </w:rPr>
        <w:t>h</w:t>
      </w:r>
      <w:r>
        <w:rPr>
          <w:rFonts w:cs="Times New Roman" w:ascii="Times New Roman" w:hAnsi="Times New Roman"/>
          <w:sz w:val="28"/>
          <w:szCs w:val="28"/>
          <w:lang w:val="ru-RU"/>
        </w:rPr>
        <w:t>7 -</w:t>
      </w:r>
      <w:r>
        <w:rPr>
          <w:rFonts w:cs="Times New Roman" w:ascii="Times New Roman" w:hAnsi="Times New Roman"/>
          <w:sz w:val="28"/>
          <w:szCs w:val="28"/>
          <w:lang w:val="en-US"/>
        </w:rPr>
        <w:t>L</w:t>
      </w:r>
      <w:r>
        <w:rPr>
          <w:rFonts w:cs="Times New Roman" w:ascii="Times New Roman" w:hAnsi="Times New Roman"/>
          <w:sz w:val="28"/>
          <w:szCs w:val="28"/>
          <w:lang w:val="ru-RU"/>
        </w:rPr>
        <w:t>2.</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Изместването на кифозата към гръдно-прясната част води до приплесване на гръдната кифоза. Патологичната деформация на това ниво на гръбнака почти не се забелязва, а по-ясно се вижда при наклон на тялото напред по изпъкващите бодилести израстъци. Подобна клинична картина се наблюдава и при лумбална локализация. Физиологичната лордоза прави деформацията слабо забележима, но при внимателен оглед се вижда изменение на конфигурацията на целия гръбначен стълб: гръбначния стълб става почти прав, а корпусът се накланя напред. При навеждане на болния бодилестите израстъци в лумбалната част изпъкват. Това изменение във формата на гръбначния стълб води до промяна във функциите му.</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Поради кифотичната деформация в лумбалния дял вместо лордоза се ограничава наклона на корпуса напред. Настъпват промени в междупрешленните дискове не само на нивото на кифозата, но и в частите на гръбнака над и под нея. Вследствие на това се получава ранна юношеска остеохондроза. По-често болки са се наблюдавали при деца с поясна и гръдно-поясна локализация на остеохондропатията и значително по-рядко при гръдна локализация.</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За юношеската кифоза са характерни ранното фиксиране на деформацията и слаба податливост към корекция, което се дължи на патологичните промени в телата на прешлените и междупрешленните дискове.</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b/>
          <w:sz w:val="28"/>
          <w:szCs w:val="28"/>
          <w:lang w:val="ru-RU"/>
        </w:rPr>
        <w:t>ФАЗИ НА ПАТОЛОГИЧНИЯ ПРОЦЕС.</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Първа - ФУНКЦИОНАЛНА ФАЗА - Най-често се засягат от </w:t>
      </w:r>
      <w:r>
        <w:rPr>
          <w:rFonts w:cs="Times New Roman" w:ascii="Times New Roman" w:hAnsi="Times New Roman"/>
          <w:sz w:val="28"/>
          <w:szCs w:val="28"/>
          <w:lang w:val="en-US"/>
        </w:rPr>
        <w:t>Th7 – Th10</w:t>
      </w:r>
      <w:r>
        <w:rPr>
          <w:rFonts w:cs="Times New Roman" w:ascii="Times New Roman" w:hAnsi="Times New Roman"/>
          <w:sz w:val="28"/>
          <w:szCs w:val="28"/>
          <w:lang w:val="ru-RU"/>
        </w:rPr>
        <w:t>. В началната си фаза болестта протича латентно, без болка. Едва в края на деня детето се оплаква от умора в мускулите на гърба. От огледа</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се вижда патологична стойка с изместване на раменния пояс напред от фронталната равнина на тялото. Набелязват се признаците на равномерна кифоза (за разлика от остра туберкулозна гърбица). При натиск върху боди</w:t>
      </w:r>
      <w:r>
        <w:rPr>
          <w:rFonts w:cs="Times New Roman" w:ascii="Times New Roman" w:hAnsi="Times New Roman"/>
          <w:sz w:val="28"/>
          <w:szCs w:val="28"/>
        </w:rPr>
        <w:t>лес</w:t>
      </w:r>
      <w:r>
        <w:rPr>
          <w:rFonts w:cs="Times New Roman" w:ascii="Times New Roman" w:hAnsi="Times New Roman"/>
          <w:sz w:val="28"/>
          <w:szCs w:val="28"/>
          <w:lang w:val="ru-RU"/>
        </w:rPr>
        <w:t xml:space="preserve">тите израстъци - </w:t>
      </w:r>
      <w:r>
        <w:rPr>
          <w:rFonts w:cs="Times New Roman" w:ascii="Times New Roman" w:hAnsi="Times New Roman"/>
          <w:sz w:val="28"/>
          <w:szCs w:val="28"/>
          <w:lang w:val="en-US"/>
        </w:rPr>
        <w:t xml:space="preserve">Th </w:t>
      </w:r>
      <w:r>
        <w:rPr>
          <w:rFonts w:cs="Times New Roman" w:ascii="Times New Roman" w:hAnsi="Times New Roman"/>
          <w:sz w:val="28"/>
          <w:szCs w:val="28"/>
          <w:lang w:val="ru-RU"/>
        </w:rPr>
        <w:t>6 и надолу,  не се открива локална болезненост.</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На рентген в тази фаза се отбелязва едва изразена клиновидна форма на прешлените, но кифозата все още не е фиксирана. </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Втора - ФЛОРИДНА ФАЗА - Тя се характеризира с ясно изразена гръдна кифоза. Най-често в областта </w:t>
      </w:r>
      <w:r>
        <w:rPr>
          <w:rFonts w:cs="Times New Roman" w:ascii="Times New Roman" w:hAnsi="Times New Roman"/>
          <w:sz w:val="28"/>
          <w:szCs w:val="28"/>
          <w:lang w:val="en-US"/>
        </w:rPr>
        <w:t>Th</w:t>
      </w:r>
      <w:r>
        <w:rPr>
          <w:rFonts w:cs="Times New Roman" w:ascii="Times New Roman" w:hAnsi="Times New Roman"/>
          <w:sz w:val="28"/>
          <w:szCs w:val="28"/>
        </w:rPr>
        <w:t xml:space="preserve">5- </w:t>
      </w:r>
      <w:r>
        <w:rPr>
          <w:rFonts w:cs="Times New Roman" w:ascii="Times New Roman" w:hAnsi="Times New Roman"/>
          <w:sz w:val="28"/>
          <w:szCs w:val="28"/>
          <w:lang w:val="en-US"/>
        </w:rPr>
        <w:t>Th</w:t>
      </w:r>
      <w:r>
        <w:rPr>
          <w:rFonts w:cs="Times New Roman" w:ascii="Times New Roman" w:hAnsi="Times New Roman"/>
          <w:sz w:val="28"/>
          <w:szCs w:val="28"/>
        </w:rPr>
        <w:t xml:space="preserve">12 </w:t>
      </w:r>
      <w:r>
        <w:rPr>
          <w:rFonts w:cs="Times New Roman" w:ascii="Times New Roman" w:hAnsi="Times New Roman"/>
          <w:sz w:val="28"/>
          <w:szCs w:val="28"/>
          <w:lang w:val="en-US"/>
        </w:rPr>
        <w:t>L2</w:t>
      </w:r>
      <w:r>
        <w:rPr>
          <w:rFonts w:cs="Times New Roman" w:ascii="Times New Roman" w:hAnsi="Times New Roman"/>
          <w:sz w:val="28"/>
          <w:szCs w:val="28"/>
          <w:lang w:val="ru-RU"/>
        </w:rPr>
        <w:t>. Клинично се изявява във възрастта от 12 до 17 години. Кифозата е частично фиксирана, но деформацията прогресира. Горната част на тялото се измества назад, а средният и долен дял са отклонени напред спрямо фронталната равнина. Под и над кнфотичната деформация има лордоза с напрегнати лумбални мускули. Лордозата не е фиксирана и представлява компенсаторен механизъм. Може да има болки под нивото на фиксираните прешлени.</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Характерната фиксираност на кифозата при остеохондропатията на апофизите на телата на прешлените, фактически остава непроменена и затова компенсацията е по-добре видима. Локализацията на кифозата в средния и долен гръден дял на гръбнака дълго време не води до груби нарушения във функциите, защото поясния и шийногръдния дял имат нормална подвижност.</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На рентген в тази фаза има изразена клиновидна деформация на телата на 2 или 3 прешлена и нарушение в структурата на епифизните плочки на прешленните тела. Хрущялните дискове обикновено са слабо променени, но може да имат по-малка височина в предните части на телата. Фазата е характерна за деца от 12-17 години.</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Трета - КЪСНА ФАЗА - Проявява се след 18 годишна възраст. Характерна е трайната и значителна деформация на гръбнака. Отпред гръдният кош е сплеснат. Характерно е и скъсяване на гръдната кост. Болката след физическо натоварване е постоянен симптом и се дължи на остеохондрозата. На рентген е изразена клиновидна деформация на телата на 2-4 прешлена.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Достоверната диагноза на остеохондропатията на гръбначния стълб се базира на рентгеновите промени. Пълната представа за характера и тежестта на промените в прешлените и дисковете, а също и определянето на стадия на болестта става по профилна снимка. Фасовата рентгенограма позволява да се определят само косвените признаци на кифотичната деформация - проекционно стеснение на междупрешлеините пространства.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b/>
          <w:sz w:val="28"/>
          <w:szCs w:val="28"/>
          <w:lang w:val="ru-RU"/>
        </w:rPr>
        <w:t>ДИАГНОСТИКА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Диагностиката на кифотичната деформация се основава на клинично и рентгенологично изследване. Първото регистрира редица параметри, характеризиращи деформацията и отношението й към тялото като цяло, а второто отчита аномалии и нейното прогнозиране.</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Клиничното изследване започва с оглед. Детето трябва да бъде съблечено по гащета и босо, стъпило на равна плоскост.</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Огледът се извършва във фас, профил и отзад. Наблюденията във фас се насочват към наличие на асиметричност на лицевите половини на черепа и шията, контурите на нивото на раменните линии и мамили, положението на ключиците, асиметричност на хълбочните бодили, нееднаквост на талийните триъгълници (образуват се от спуснатите ръце, талията и таза). Особено внимание се обръща на формата на гръдната клетка. В много случаи нейната деформация е свързана с изкривяване на гръбначния стълб.</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При огледа от страни (профил) наблюденията започват от долните крайници: ходила - наличие на плоско стъпало или други деформации; коленни стави - възможна рекорвация.</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След това се проследяват кривините на гръбначния стълб. Намаляването или увеличаването им са признаци за кифотична или лордотична деформации.</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Огледът отзад започва също от долните крайници. Отчитат се всички отклонения в отделните части: положение и форма на стъпалата и колената, височината на глутеалните гънки, положение на таза, асиметрично на талийните гънки, положение на лопатките, раменния пояс и държането на главата. Особено внимание се обръща на положението на таза и неговата симетричност към раменния пояс. Нерядко се открива наклон или променена инклинация на таза, чиято причина трябва да се изясни.</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b/>
          <w:sz w:val="28"/>
          <w:szCs w:val="28"/>
          <w:lang w:val="ru-RU"/>
        </w:rPr>
        <w:t>РЕНТГЕНОЛОГИЧНИ ПРИЗНАЦИ</w:t>
      </w:r>
      <w:r>
        <w:rPr>
          <w:rFonts w:cs="Times New Roman" w:ascii="Times New Roman" w:hAnsi="Times New Roman"/>
          <w:sz w:val="28"/>
          <w:szCs w:val="28"/>
          <w:lang w:val="ru-RU"/>
        </w:rPr>
        <w:t xml:space="preserve"> - Рентгенологичните промени са различни в трите периода на заболяването. Те най-добре се откриват на профилна рентгенограма. В първия (безсимптомен) период може да се намери леко увеличение на физиологичната кифоза. Понякога се откриват единични леко снижени в предната си част прешлени. Дисковете са с гладки очертания и непроменена височина. Във втория период - периода на развитието на промените, се откриват неравности по покривните плочки, Шморловите връзки, снижение на височината на дисковете в засегнатия участък на гръбначния стълб. В най-типичните случаи прешлените придобиват т. нар. </w:t>
      </w:r>
      <w:r>
        <w:rPr>
          <w:rFonts w:cs="Times New Roman" w:ascii="Times New Roman" w:hAnsi="Times New Roman"/>
          <w:sz w:val="28"/>
          <w:szCs w:val="28"/>
          <w:lang w:val="en-US"/>
        </w:rPr>
        <w:t>“</w:t>
      </w:r>
      <w:r>
        <w:rPr>
          <w:rFonts w:cs="Times New Roman" w:ascii="Times New Roman" w:hAnsi="Times New Roman"/>
          <w:sz w:val="28"/>
          <w:szCs w:val="28"/>
          <w:lang w:val="ru-RU"/>
        </w:rPr>
        <w:t>бутилковидна форма</w:t>
      </w:r>
      <w:r>
        <w:rPr>
          <w:rFonts w:cs="Times New Roman" w:ascii="Times New Roman" w:hAnsi="Times New Roman"/>
          <w:sz w:val="28"/>
          <w:szCs w:val="28"/>
          <w:lang w:val="en-US"/>
        </w:rPr>
        <w:t>”</w:t>
      </w:r>
      <w:r>
        <w:rPr>
          <w:rFonts w:cs="Times New Roman" w:ascii="Times New Roman" w:hAnsi="Times New Roman"/>
          <w:sz w:val="28"/>
          <w:szCs w:val="28"/>
          <w:lang w:val="ru-RU"/>
        </w:rPr>
        <w:t xml:space="preserve"> . Предната им част отгоре и отдолу стъпаловидно се стеснява. Контурите на тялото на това място са не резки, ретуширани. Отпред, отговарящо на двата ръба на прешлена, се появяват триъгълни или окръглени костни ядра, които са с плътна сянка, понякога фрагментирани. Тези апофизни ядра по-късно се сливат в тялото на прешлена и обикновено след 21 годишна възраст изчезват. Понякога остават отделени от тялото на прешлена през целия живот, което не дава повод да се счита, че се касае и в по-късна възраст за болестта на Шоерман. Твърде често засегнатите от процеса прешлени са с по-голям предно-заден диаметър от съседните им. На рентгенограмата в предно-задна проекция много често се открива лека или умерена сколиоза (при 20 до 50 % от болните). В третия период -  периода на трайните изменения, се откриват стеснени дискове със склеротичен контур, както и клиновидни прешлени, Шморлови връзки и прояви на остеохондроза. Много рядко се получава синостоза на предните ръбове на телата. Описвани са Лоозерови зони на </w:t>
      </w:r>
      <w:r>
        <w:rPr>
          <w:rFonts w:cs="Times New Roman" w:ascii="Times New Roman" w:hAnsi="Times New Roman"/>
          <w:b/>
          <w:sz w:val="28"/>
          <w:szCs w:val="28"/>
          <w:lang w:val="en-US"/>
        </w:rPr>
        <w:t>proc. spinosi</w:t>
      </w:r>
      <w:r>
        <w:rPr>
          <w:rFonts w:cs="Times New Roman" w:ascii="Times New Roman" w:hAnsi="Times New Roman"/>
          <w:sz w:val="28"/>
          <w:szCs w:val="28"/>
          <w:lang w:val="ru-RU"/>
        </w:rPr>
        <w:t xml:space="preserve"> дължащи се на преустройка на костта при условията на увеличено разтягане.</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Заслужава да се отбележи една особена форма на промяна в предната част на телата на прешлените, която </w:t>
      </w:r>
      <w:r>
        <w:rPr>
          <w:rFonts w:cs="Times New Roman" w:ascii="Times New Roman" w:hAnsi="Times New Roman"/>
          <w:b/>
          <w:sz w:val="28"/>
          <w:szCs w:val="28"/>
          <w:lang w:val="en-US"/>
        </w:rPr>
        <w:t>Schmorl</w:t>
      </w:r>
      <w:r>
        <w:rPr>
          <w:rFonts w:cs="Times New Roman" w:ascii="Times New Roman" w:hAnsi="Times New Roman"/>
          <w:sz w:val="28"/>
          <w:szCs w:val="28"/>
          <w:lang w:val="ru-RU"/>
        </w:rPr>
        <w:t xml:space="preserve"> счита като проява на Шоермановата болест. Това е дълбокият дисков пролапс, който се вижда при някои болни в горните поясни прешлени.</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Normal"/>
        <w:spacing w:lineRule="auto" w:line="360"/>
        <w:ind w:left="360" w:hanging="0"/>
        <w:jc w:val="center"/>
        <w:rPr>
          <w:rFonts w:ascii="Times New Roman" w:hAnsi="Times New Roman" w:cs="Times New Roman"/>
          <w:b/>
          <w:sz w:val="28"/>
          <w:szCs w:val="28"/>
          <w:lang w:val="ru-RU"/>
        </w:rPr>
      </w:pPr>
      <w:r>
        <w:rPr>
          <w:b/>
          <w:sz w:val="32"/>
          <w:szCs w:val="32"/>
        </w:rPr>
        <w:t>3. ПАТОКИНЕЗИОЛОГИЧЕН АНАЛИЗ НА КИФОТИЧНАТА ДЕФОРМАЦИЯ</w:t>
      </w:r>
    </w:p>
    <w:p>
      <w:pPr>
        <w:pStyle w:val="Normal"/>
        <w:spacing w:lineRule="auto" w:line="360"/>
        <w:jc w:val="center"/>
        <w:rPr>
          <w:rFonts w:ascii="Times New Roman" w:hAnsi="Times New Roman" w:cs="Times New Roman"/>
          <w:b/>
          <w:sz w:val="28"/>
          <w:szCs w:val="28"/>
          <w:lang w:val="ru-RU"/>
        </w:rPr>
      </w:pPr>
      <w:r>
        <w:rPr>
          <w:b/>
          <w:sz w:val="32"/>
          <w:szCs w:val="32"/>
        </w:rPr>
      </w:r>
    </w:p>
    <w:p>
      <w:pPr>
        <w:pStyle w:val="Normal"/>
        <w:spacing w:lineRule="auto" w:line="360"/>
        <w:jc w:val="center"/>
        <w:rPr>
          <w:rFonts w:ascii="Times New Roman" w:hAnsi="Times New Roman" w:cs="Times New Roman"/>
          <w:b/>
          <w:sz w:val="28"/>
          <w:szCs w:val="28"/>
          <w:lang w:val="ru-RU"/>
        </w:rPr>
      </w:pPr>
      <w:r>
        <w:rPr>
          <w:b/>
          <w:sz w:val="32"/>
          <w:szCs w:val="32"/>
        </w:rPr>
      </w:r>
    </w:p>
    <w:p>
      <w:pPr>
        <w:pStyle w:val="PlainText"/>
        <w:spacing w:lineRule="auto" w:line="360"/>
        <w:ind w:first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 </w:t>
      </w:r>
      <w:r>
        <w:rPr>
          <w:rFonts w:cs="Times New Roman" w:ascii="Times New Roman" w:hAnsi="Times New Roman"/>
          <w:sz w:val="28"/>
          <w:szCs w:val="28"/>
          <w:lang w:val="ru-RU"/>
        </w:rPr>
        <w:t>Патологичните промени в гръдния дял на гръбначния стълб наложени от кифотичната деформация довеждат до дефицит във функциите на опорно-двигателния комплекс.</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В биомеханичен план отклоненията имат следния вид:</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1. Хоризонтална равнина</w:t>
      </w:r>
      <w:r>
        <w:rPr>
          <w:rFonts w:cs="Times New Roman" w:ascii="Times New Roman" w:hAnsi="Times New Roman"/>
          <w:sz w:val="28"/>
          <w:szCs w:val="28"/>
          <w:lang w:val="ru-RU"/>
        </w:rPr>
        <w:t xml:space="preserve"> - главата и раменния нояс се накланят напред и надолу; изменя се ъгъла на инклинация на таза като в повечето случаи инклинацията е увеличена. Центъра на тежестта се снижава назад на ниво лумбални прешлени, с което се променят и биомеханичните отношения по отношение на таза и тазобедрените стави. Гръдния кош е с намалени диаметри в положение на "вдишване" и със стеснена в долната си част диафрагма.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2. Фронтална равнина</w:t>
      </w:r>
      <w:r>
        <w:rPr>
          <w:rFonts w:cs="Times New Roman" w:ascii="Times New Roman" w:hAnsi="Times New Roman"/>
          <w:sz w:val="28"/>
          <w:szCs w:val="28"/>
          <w:lang w:val="ru-RU"/>
        </w:rPr>
        <w:t xml:space="preserve"> - горният отдел на трупа е снижен назад, а долния и средния се отклоняват напред от фронталната равнина. Над и под кифозата се увеличават компенсаторно шийната и поясната лордози.</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Локализацията в среден и долен гръден сегмент продължително време не предизвиква груби нарушения във функциите на гръбначния стълб. Не се открива намаление на подвижността в шийно-гръдния и поясния отдели. Дефицит в движенията се открива само в засегнатия от деформацията сегмент.</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От съществено значение за кинезитерапевтичното лечение на кифозите е наличието на асиметрия в мускулния тонус на фиксаторните мускулни групи. Променената биомеханика довежда до непрекъснато напрежение и повишен мускулен тонус на поясната и пекторална мускулатура и рефлекторно-компенсаторна слабост на гръбнака и коремна мускулатура. Кинезиологичното изследване тонуса на мускулатурата показва склонност към скъсяване на мускули илиопсоас, ишиокрурална група., квадратно поясни, пекторални (най-вече стерналната част) и низходящата част на трапециуса, като в същото време са отслабени коремните и глутеалните мускули. Ригидни са паравертебралните мускули особено в сектора на кифотичната деформация.</w:t>
      </w:r>
    </w:p>
    <w:p>
      <w:pPr>
        <w:pStyle w:val="Normal"/>
        <w:spacing w:lineRule="auto" w:line="360"/>
        <w:ind w:left="540" w:hanging="0"/>
        <w:jc w:val="both"/>
        <w:rPr>
          <w:rFonts w:ascii="Times New Roman" w:hAnsi="Times New Roman" w:cs="Times New Roman"/>
          <w:b/>
          <w:sz w:val="28"/>
          <w:szCs w:val="28"/>
          <w:lang w:val="ru-RU"/>
        </w:rPr>
      </w:pPr>
      <w:r>
        <w:rPr>
          <w:rFonts w:cs="Times New Roman"/>
          <w:b/>
          <w:sz w:val="32"/>
          <w:szCs w:val="32"/>
          <w:lang w:val="ru-RU"/>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both"/>
        <w:rPr>
          <w:rFonts w:ascii="Times New Roman" w:hAnsi="Times New Roman" w:cs="Times New Roman"/>
          <w:b/>
          <w:sz w:val="28"/>
          <w:szCs w:val="28"/>
          <w:lang w:val="ru-RU"/>
        </w:rPr>
      </w:pPr>
      <w:r>
        <w:rPr>
          <w:b/>
          <w:sz w:val="32"/>
          <w:szCs w:val="32"/>
        </w:rPr>
      </w:r>
    </w:p>
    <w:p>
      <w:pPr>
        <w:pStyle w:val="Normal"/>
        <w:spacing w:lineRule="auto" w:line="360"/>
        <w:jc w:val="both"/>
        <w:rPr>
          <w:rFonts w:ascii="Times New Roman" w:hAnsi="Times New Roman" w:cs="Times New Roman"/>
          <w:b/>
          <w:sz w:val="28"/>
          <w:szCs w:val="28"/>
          <w:lang w:val="ru-RU"/>
        </w:rPr>
      </w:pPr>
      <w:r>
        <w:rPr>
          <w:b/>
          <w:sz w:val="32"/>
          <w:szCs w:val="32"/>
        </w:rPr>
      </w:r>
    </w:p>
    <w:p>
      <w:pPr>
        <w:pStyle w:val="Normal"/>
        <w:spacing w:lineRule="auto" w:line="360"/>
        <w:ind w:left="540" w:hanging="0"/>
        <w:jc w:val="center"/>
        <w:rPr>
          <w:rFonts w:ascii="Times New Roman" w:hAnsi="Times New Roman" w:cs="Times New Roman"/>
          <w:b/>
          <w:sz w:val="28"/>
          <w:szCs w:val="28"/>
          <w:lang w:val="ru-RU"/>
        </w:rPr>
      </w:pPr>
      <w:r>
        <w:rPr>
          <w:b/>
          <w:sz w:val="32"/>
          <w:szCs w:val="32"/>
        </w:rPr>
        <w:t>4. СЪВРЕМЕННИ СХВАЩАНИЯ ЗА КОНСЕРВАТИВНО ЛЕЧЕНИЕ НА КИФОТИЧНИТЕ ДЕФОРМАЦИИ</w:t>
      </w:r>
    </w:p>
    <w:p>
      <w:pPr>
        <w:pStyle w:val="Normal"/>
        <w:spacing w:lineRule="auto" w:line="360"/>
        <w:ind w:left="540" w:hanging="0"/>
        <w:rPr>
          <w:rFonts w:ascii="Times New Roman" w:hAnsi="Times New Roman" w:cs="Times New Roman"/>
          <w:b/>
          <w:sz w:val="28"/>
          <w:szCs w:val="28"/>
          <w:lang w:val="ru-RU"/>
        </w:rPr>
      </w:pPr>
      <w:r>
        <w:rPr>
          <w:b/>
          <w:sz w:val="28"/>
          <w:szCs w:val="28"/>
        </w:rPr>
      </w:r>
    </w:p>
    <w:p>
      <w:pPr>
        <w:pStyle w:val="PlainText"/>
        <w:spacing w:lineRule="auto" w:line="360"/>
        <w:ind w:firstLine="540"/>
        <w:jc w:val="both"/>
        <w:rPr>
          <w:rFonts w:ascii="Times New Roman" w:hAnsi="Times New Roman" w:cs="Times New Roman"/>
          <w:b/>
          <w:sz w:val="28"/>
          <w:szCs w:val="28"/>
          <w:lang w:val="ru-RU"/>
        </w:rPr>
      </w:pPr>
      <w:r>
        <w:rPr>
          <w:rFonts w:cs="Times New Roman" w:ascii="Times New Roman" w:hAnsi="Times New Roman"/>
          <w:sz w:val="28"/>
          <w:szCs w:val="28"/>
          <w:lang w:val="ru-RU"/>
        </w:rPr>
        <w:t>Гръбначните изкривявания в сагиталната равнина, т.е патологичните кифози и лордози са много по-чести от сколиозите, но за тяхното лечение в литературата има значително по-малко материали. Някои обясняват това с факта, че тук няма толкова много спорни и нерешени проблеми, с което не можем да се съгласим. Лечението на патологичните кифози както кинезитерапевтично, така и ортопедично и оперативно е трудна задача и затова при немалко ортопеди съществува, с известно основание, недоверие към него.</w:t>
      </w:r>
    </w:p>
    <w:p>
      <w:pPr>
        <w:pStyle w:val="PlainText"/>
        <w:spacing w:lineRule="auto" w:line="360"/>
        <w:ind w:firstLine="540"/>
        <w:jc w:val="both"/>
        <w:rPr>
          <w:rFonts w:ascii="Times New Roman" w:hAnsi="Times New Roman" w:cs="Times New Roman"/>
          <w:b/>
          <w:sz w:val="28"/>
          <w:szCs w:val="28"/>
          <w:lang w:val="ru-RU"/>
        </w:rPr>
      </w:pPr>
      <w:r>
        <w:rPr>
          <w:rFonts w:cs="Times New Roman" w:ascii="Times New Roman" w:hAnsi="Times New Roman"/>
          <w:sz w:val="28"/>
          <w:szCs w:val="28"/>
          <w:lang w:val="ru-RU"/>
        </w:rPr>
        <w:t>Както на повечето медицински проблеми, така и на въпросите около диагностиката и лечението на кифотичния гръбначен стълб началото търсим в древната човешка история.</w:t>
      </w:r>
    </w:p>
    <w:p>
      <w:pPr>
        <w:pStyle w:val="PlainText"/>
        <w:spacing w:lineRule="auto" w:line="360"/>
        <w:ind w:firstLine="540"/>
        <w:jc w:val="both"/>
        <w:rPr>
          <w:rFonts w:ascii="Times New Roman" w:hAnsi="Times New Roman" w:cs="Times New Roman"/>
          <w:b/>
          <w:sz w:val="28"/>
          <w:szCs w:val="28"/>
          <w:lang w:val="ru-RU"/>
        </w:rPr>
      </w:pPr>
      <w:r>
        <w:rPr>
          <w:rFonts w:cs="Times New Roman" w:ascii="Times New Roman" w:hAnsi="Times New Roman"/>
          <w:b/>
          <w:sz w:val="28"/>
          <w:szCs w:val="28"/>
          <w:lang w:val="ru-RU"/>
        </w:rPr>
        <w:t>Хипократ</w:t>
      </w:r>
      <w:r>
        <w:rPr>
          <w:rFonts w:cs="Times New Roman" w:ascii="Times New Roman" w:hAnsi="Times New Roman"/>
          <w:sz w:val="28"/>
          <w:szCs w:val="28"/>
          <w:lang w:val="ru-RU"/>
        </w:rPr>
        <w:t xml:space="preserve"> е бил първият, който е описал деформацията и последващите от нея нарушения във функциите на органите в гръдния кош. За лечение е препоръчвал дихателни упражнения и редресация върху дъска.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В йогийската система от упражнения и пози се отделя голямо внимание на опорно-двигателните нарушения и телесни деформации. Описани са схеми за тяхното лечение посредством движения, пози и дишане.</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В продължение на столетия се експериментират и внедряват методи за консервативно лечение на гръбначни деформации. Те прилагат системи от физически упражнения с цел мобилизиране на гръбначния стьлб и възможна корекция па изкривяването. Според </w:t>
      </w:r>
      <w:r>
        <w:rPr>
          <w:rFonts w:cs="Times New Roman" w:ascii="Times New Roman" w:hAnsi="Times New Roman"/>
          <w:b/>
          <w:sz w:val="28"/>
          <w:szCs w:val="28"/>
          <w:lang w:val="en-US"/>
        </w:rPr>
        <w:t>W.P. Bunel</w:t>
      </w:r>
      <w:r>
        <w:rPr>
          <w:rFonts w:cs="Times New Roman" w:ascii="Times New Roman" w:hAnsi="Times New Roman"/>
          <w:sz w:val="28"/>
          <w:szCs w:val="28"/>
          <w:lang w:val="ru-RU"/>
        </w:rPr>
        <w:t xml:space="preserve"> 1979г. показани за консервативно лечение само с лечебна гимнастика са деформитети до 20˚. При изкривявания от 20˚ до 40˚ освен упражнения за корекция и укрепване на мускулатурата се прилагат и ортотични средства - корсети, екстензии и др. </w:t>
      </w:r>
      <w:r>
        <w:rPr>
          <w:rFonts w:cs="Times New Roman" w:ascii="Times New Roman" w:hAnsi="Times New Roman"/>
          <w:b/>
          <w:sz w:val="28"/>
          <w:szCs w:val="28"/>
          <w:lang w:val="en-US"/>
        </w:rPr>
        <w:t>Stagnara</w:t>
      </w:r>
      <w:r>
        <w:rPr>
          <w:rFonts w:cs="Times New Roman" w:ascii="Times New Roman" w:hAnsi="Times New Roman"/>
          <w:sz w:val="28"/>
          <w:szCs w:val="28"/>
          <w:lang w:val="ru-RU"/>
        </w:rPr>
        <w:t xml:space="preserve"> и сътр. 1975г. препоръчват следната последователност на терапевтичните средства при лечението на кифозите. Първо да се прилага кинезитерапия. При прогресиране (ригидна хиперкифоза) да се премине към коригиращи корсети. Когато кифозата стане структурна, с голям ъгъл на изкривяване, се прилага оперативно лечение.</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Stagnara</w:t>
      </w:r>
      <w:r>
        <w:rPr>
          <w:rFonts w:cs="Times New Roman" w:ascii="Times New Roman" w:hAnsi="Times New Roman"/>
          <w:sz w:val="28"/>
          <w:szCs w:val="28"/>
          <w:lang w:val="ru-RU"/>
        </w:rPr>
        <w:t xml:space="preserve"> и сътр. (1975г.) подчертават, че при нефиксираните гръдни кифози трябва да се обърне внимание на седящото положение на пациента. Голяма част от живота на децата и юношите протича в седящо положение. Когато корекцията на гръбначния стълб се извършва само в легнало или право положение, авторите считат терапевтичните процедури за необосновани. Необходимо е да се анализира седящата поза на пациента. Той да се обучи в движения, подобряващи лошата поза и преди всичко да се осигури правилен седеж на чиновете в училищата и при работа. Авторите смятат, че това е първото, което трябва да се направи при лечението на нефиксираните кифози, т. е. кифозите, които са още гъвкави и се поддават на корекция.</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Становището на </w:t>
      </w:r>
      <w:r>
        <w:rPr>
          <w:rFonts w:cs="Times New Roman" w:ascii="Times New Roman" w:hAnsi="Times New Roman"/>
          <w:b/>
          <w:sz w:val="28"/>
          <w:szCs w:val="28"/>
          <w:lang w:val="en-US"/>
        </w:rPr>
        <w:t>Bunnel</w:t>
      </w:r>
      <w:r>
        <w:rPr>
          <w:rFonts w:cs="Times New Roman" w:ascii="Times New Roman" w:hAnsi="Times New Roman"/>
          <w:sz w:val="28"/>
          <w:szCs w:val="28"/>
          <w:lang w:val="ru-RU"/>
        </w:rPr>
        <w:t xml:space="preserve"> относно невъзможността да се очаква от лечебна физкултура корегиращ и дори задържащ ефект върху прогресирането на деформитета не трябва да се приема като отрицание на всички качества на кинезитерапията. Никой не може да отрече нейното значение като обша и дихателна гимнастика, която подобрява общото състояние на мускулатурата и може значително да увеличи намаления витален капацитет. Не може да се отрече и ролята на кинезитерапията за подобряване на стойката, което има голямо значение при кифозата, както и за засилване на гърба и корема.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A.White, M.Panjabi</w:t>
      </w:r>
      <w:r>
        <w:rPr>
          <w:rFonts w:cs="Times New Roman" w:ascii="Times New Roman" w:hAnsi="Times New Roman"/>
          <w:sz w:val="28"/>
          <w:szCs w:val="28"/>
          <w:lang w:val="ru-RU"/>
        </w:rPr>
        <w:t xml:space="preserve"> (1978г.), разглеждайки от биохимична гледна точка ефекта на лечебната гимнастика върху деформитета, стигат до заключението, че кинезитерапията едва ли може да корегира създадените вече кривини. Според тях паравертебралната мускулатура няма достатъчно сила за да преодолее високоеластичните сили, които фиксират деформитетната дъга. Трудно е волево да се издържи една много продължителна мускулна контракция, която би повлияла споменатите високоеластични структури. Поради тези причини много хирурзи не вярват, че упражненията могат да имат някаква значителна стойност за корекция на деформацията.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Кинезитерапията обаче е фактор с изключително позитивно значение при лечението на болезнените кифози на гръбначния стълб. При тези случаи не се търси корегиращ ефект, а премахване на болковия синдром, който най-често се дължи на мускулна инсуфициентност и умора.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Основен принцип на кинезитерапията на гръбначните хиперкифози е упражненията да се изпълняват от изходни положения на разтоварен гръбначен стьлб, с изгладени шийна и лумбална лордози. Почти всички автори препоръчват преди започване на кинезитерапевтичните процедури да се извършва екстензия на гръбначния стълб. Тя може да бъде активна или пасивна, използвайки тракцията на гръбначния стълб посредством различни устройства,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O. Brien</w:t>
      </w:r>
      <w:r>
        <w:rPr>
          <w:rFonts w:cs="Times New Roman" w:ascii="Times New Roman" w:hAnsi="Times New Roman"/>
          <w:sz w:val="28"/>
          <w:szCs w:val="28"/>
          <w:lang w:val="ru-RU"/>
        </w:rPr>
        <w:t xml:space="preserve"> и сътр. (1979г.) твърдят, че халопелвисната тракция е най- добрият метод за лечение на кифозите, какъвто преди не е съществувал. Докато при оперативно лечение една корекция от 25</w:t>
      </w:r>
      <w:r>
        <w:rPr>
          <w:rFonts w:cs="Times New Roman" w:ascii="Times New Roman" w:hAnsi="Times New Roman"/>
          <w:b/>
          <w:sz w:val="28"/>
          <w:szCs w:val="28"/>
          <w:lang w:val="en-US"/>
        </w:rPr>
        <w:t>˚</w:t>
      </w:r>
      <w:r>
        <w:rPr>
          <w:rFonts w:cs="Times New Roman" w:ascii="Times New Roman" w:hAnsi="Times New Roman"/>
          <w:sz w:val="28"/>
          <w:szCs w:val="28"/>
          <w:lang w:val="ru-RU"/>
        </w:rPr>
        <w:t xml:space="preserve"> носи риск за увреда на гръбначния мозък, то постепенната корекция с тракцията е много по-безопасна и е за препоръчване. Авторите съобщават, че са лекували с халопелвисна терапия 40 болни с тежка кифоза. С бавна екстензия на гръбначния стьлб в продължение на 10-12 седмици се получава добра корекция, след което гръбначния стълб е трябвало да бъде стабилизиран с предна и задна спинодеза.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Z. Tretikova</w:t>
      </w:r>
      <w:r>
        <w:rPr>
          <w:rFonts w:cs="Times New Roman" w:ascii="Times New Roman" w:hAnsi="Times New Roman"/>
          <w:sz w:val="28"/>
          <w:szCs w:val="28"/>
          <w:lang w:val="ru-RU"/>
        </w:rPr>
        <w:t xml:space="preserve"> и сътр. (1966г.) препоръчват при кинезитерапията на кифозата да се използват някои от основните фигури и упражнения, изпълнявани в художествената гимнастика. Те твърдят, че с тези упражнения се постигат сила, гъвкавост и ловкост. Обръщат особено внимание на емоционалните фактори, които подчертано засилват съдействието на пациентите.</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S Ovsiannikova</w:t>
      </w:r>
      <w:r>
        <w:rPr>
          <w:rFonts w:cs="Times New Roman" w:ascii="Times New Roman" w:hAnsi="Times New Roman"/>
          <w:sz w:val="28"/>
          <w:szCs w:val="28"/>
          <w:lang w:val="ru-RU"/>
        </w:rPr>
        <w:t xml:space="preserve"> и сътр. (1974г.) съобщават опита си от дозирано плуване в комплекса на санаториално лечение на децата със сколиоза и порочна стойка (кифоза).</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en-US"/>
        </w:rPr>
        <w:t>V.P Bobeshko</w:t>
      </w:r>
      <w:r>
        <w:rPr>
          <w:rFonts w:cs="Times New Roman" w:ascii="Times New Roman" w:hAnsi="Times New Roman"/>
          <w:sz w:val="28"/>
          <w:szCs w:val="28"/>
          <w:lang w:val="ru-RU"/>
        </w:rPr>
        <w:t xml:space="preserve"> и сътр. (1979г.) споделят своя опит от лечението на идиопатпчни деформитети на гръбначния стълб с електростимулацпя. Те представят резултатите от лечението на 16 болни. Използвани са имплантирани в параспииалната мускулатура електроди и подкожно имплантиран приемнпк - стимулатор, като импулсите за стимулация са давани с радиовълни. Стимулацията се е извършвала нощем по време на сън, а през деня пациентите са били на свободен режим без да носят ортопедични корсети. Лечението е продължавало най-малко 8 месеца. Около 80 % от случаите процесът е спрял прогресирането или е настъпило подобрение.</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Пациентите отлично приемали този начин на лечение.</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В почти всички изследвания за кинезитерапевтично лечение на деформации на гръбначния стълб се подчертава ролята на дишането, като допълнителен корегиращ фактор. Това най-вероятно се дължи на подобрената респираторна подвижност на гръдния кош и диафрагмата.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Дишането е функция на дихателния апарат и мускулите заангажирани от него. Известно е, че екстензията на трупа се комбинира с вдишване, а  флексията с издишване. При по-точни изследвания се установява, че това е правило при флексия и екстензия в шийния и лумбален сегмент на гръбначния стълб. В торакалния обаче максималната екстензия е възможна само при максимално издишване и обратно (максималното кифозиране при максимално вдишване).</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От особено значение в този смисъл е задържането на дишането след дълбоко поемане на въздух при максимално мускулно напрежение. Обяснителният механизъм се намира в изследвания на </w:t>
      </w:r>
      <w:r>
        <w:rPr>
          <w:rFonts w:cs="Times New Roman" w:ascii="Times New Roman" w:hAnsi="Times New Roman"/>
          <w:b/>
          <w:sz w:val="28"/>
          <w:szCs w:val="28"/>
          <w:lang w:val="en-US"/>
        </w:rPr>
        <w:t>Moriss</w:t>
      </w:r>
      <w:r>
        <w:rPr>
          <w:rFonts w:cs="Times New Roman" w:ascii="Times New Roman" w:hAnsi="Times New Roman"/>
          <w:sz w:val="28"/>
          <w:szCs w:val="28"/>
          <w:lang w:val="ru-RU"/>
        </w:rPr>
        <w:t xml:space="preserve"> и сътр. (1961г.), според които гръбначния стълб е подпрян с диафрагмата като коремната кухина с предна стена - коремната мускулатура и дъно - мускулите на тазовото дъно, не може да намали обема си. Електромиографски се доказва мускулната активност на коремната мускулатура при повдигане на тежест. </w:t>
      </w:r>
      <w:r>
        <w:rPr>
          <w:rFonts w:cs="Times New Roman" w:ascii="Times New Roman" w:hAnsi="Times New Roman"/>
          <w:b/>
          <w:sz w:val="28"/>
          <w:szCs w:val="28"/>
          <w:lang w:val="en-US"/>
        </w:rPr>
        <w:t>Skladal</w:t>
      </w:r>
      <w:r>
        <w:rPr>
          <w:rFonts w:cs="Times New Roman" w:ascii="Times New Roman" w:hAnsi="Times New Roman"/>
          <w:sz w:val="28"/>
          <w:szCs w:val="28"/>
          <w:lang w:val="ru-RU"/>
        </w:rPr>
        <w:t xml:space="preserve"> (1970г.) наблюдава, че при изправяне на пръсти, диафрагмата се „изглажда" и назовава феномена - постурална реакция. Той нарича диафрагмата "дихателен мускул" с постурална функция, а коремната мускулатура "постурални мускули с дихателна функция". Значението на задържането па дишането при интензивна мускулна дейност, според </w:t>
      </w:r>
      <w:r>
        <w:rPr>
          <w:rFonts w:cs="Times New Roman" w:ascii="Times New Roman" w:hAnsi="Times New Roman"/>
          <w:b/>
          <w:sz w:val="28"/>
          <w:szCs w:val="28"/>
          <w:lang w:val="en-US"/>
        </w:rPr>
        <w:t>Valsava</w:t>
      </w:r>
      <w:r>
        <w:rPr>
          <w:rFonts w:cs="Times New Roman" w:ascii="Times New Roman" w:hAnsi="Times New Roman"/>
          <w:sz w:val="28"/>
          <w:szCs w:val="28"/>
          <w:lang w:val="ru-RU"/>
        </w:rPr>
        <w:t xml:space="preserve"> е в постигането на телесен максимален стабилитет. При това от особено значение е напрежението на коремните мускули и диафрагмата във фазата на издишване.</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По различни са отношенията по време на вдишване. Тук важна роля играе разширяването на гръдния кош, извършвано от интеркосталните външни мускули. Не по-малко важна е контракцията на мускулната част на диафрагмата, която повдига долните ребра и то при съществуващото напрежение на коремната мускулатура.</w:t>
      </w:r>
      <w:r>
        <w:rPr>
          <w:rFonts w:cs="Times New Roman" w:ascii="Times New Roman" w:hAnsi="Times New Roman"/>
          <w:sz w:val="28"/>
          <w:szCs w:val="28"/>
          <w:lang w:val="en-US"/>
        </w:rPr>
        <w:t xml:space="preserve"> </w:t>
      </w:r>
      <w:r>
        <w:rPr>
          <w:rFonts w:cs="Times New Roman" w:ascii="Times New Roman" w:hAnsi="Times New Roman"/>
          <w:b/>
          <w:sz w:val="28"/>
          <w:szCs w:val="28"/>
          <w:lang w:val="en-US"/>
        </w:rPr>
        <w:t xml:space="preserve">Kapanji </w:t>
      </w:r>
      <w:r>
        <w:rPr>
          <w:rFonts w:cs="Times New Roman" w:ascii="Times New Roman" w:hAnsi="Times New Roman"/>
          <w:sz w:val="28"/>
          <w:szCs w:val="28"/>
          <w:lang w:val="ru-RU"/>
        </w:rPr>
        <w:t xml:space="preserve">1974г.; </w:t>
      </w:r>
      <w:r>
        <w:rPr>
          <w:rFonts w:cs="Times New Roman" w:ascii="Times New Roman" w:hAnsi="Times New Roman"/>
          <w:b/>
          <w:sz w:val="28"/>
          <w:szCs w:val="28"/>
          <w:lang w:val="en-US"/>
        </w:rPr>
        <w:t xml:space="preserve">Kambrel </w:t>
      </w:r>
      <w:r>
        <w:rPr>
          <w:rFonts w:cs="Times New Roman" w:ascii="Times New Roman" w:hAnsi="Times New Roman"/>
          <w:sz w:val="28"/>
          <w:szCs w:val="28"/>
          <w:lang w:val="ru-RU"/>
        </w:rPr>
        <w:t>1971г.)</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 xml:space="preserve">Визираният механизъм подпомага деблокирането на гръдния кош </w:t>
      </w:r>
      <w:r>
        <w:rPr>
          <w:rFonts w:cs="Times New Roman" w:ascii="Times New Roman" w:hAnsi="Times New Roman"/>
          <w:sz w:val="28"/>
          <w:szCs w:val="28"/>
        </w:rPr>
        <w:t>ос</w:t>
      </w:r>
      <w:r>
        <w:rPr>
          <w:rFonts w:cs="Times New Roman" w:ascii="Times New Roman" w:hAnsi="Times New Roman"/>
          <w:sz w:val="28"/>
          <w:szCs w:val="28"/>
          <w:lang w:val="ru-RU"/>
        </w:rPr>
        <w:t>обено при екстензия на гръбначния стълб.</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Тренкова, Стоков</w:t>
      </w:r>
      <w:r>
        <w:rPr>
          <w:rFonts w:cs="Times New Roman" w:ascii="Times New Roman" w:hAnsi="Times New Roman"/>
          <w:sz w:val="28"/>
          <w:szCs w:val="28"/>
          <w:lang w:val="ru-RU"/>
        </w:rPr>
        <w:t xml:space="preserve"> (1992г.) изследват въздействието на дихателната гимнастика върху деформитета на гръбначния стълб и гръдната стена на деца със синдрома на Марфан.</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П. Баракова</w:t>
      </w:r>
      <w:r>
        <w:rPr>
          <w:rFonts w:cs="Times New Roman" w:ascii="Times New Roman" w:hAnsi="Times New Roman"/>
          <w:sz w:val="28"/>
          <w:szCs w:val="28"/>
          <w:lang w:val="ru-RU"/>
        </w:rPr>
        <w:t xml:space="preserve"> - 1992г. в оптимизираната методика на Бекер, насочва вниманието към различните фази на дишането при прилагането на изометричните упражнения.</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За разлика от изследванията и наблюденията при консервативното лечение на сколиозите, информативната медицинска литература за лечение на кифозите у нас е твърде оскъдна.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Повечето автори на специализирани учебни помагала, статии и обзори отбелязват въздействието на кинезитерапията върху неправилната стойка без да конкретизират механизмите за повлияване</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С. Черногорова</w:t>
      </w:r>
      <w:r>
        <w:rPr>
          <w:rFonts w:cs="Times New Roman" w:ascii="Times New Roman" w:hAnsi="Times New Roman"/>
          <w:sz w:val="28"/>
          <w:szCs w:val="28"/>
          <w:lang w:val="ru-RU"/>
        </w:rPr>
        <w:t>, автор с особени интереси към разглежданите проблеми в многобройните си трудове определя специфичните задачи на кинезитерапевтичиите методи при деформации на гръбначния стълб. В някои от изследванията си тя диференцира методики с практическа стойност за консервативно лечение на кифотичните деформации.</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Минкова, Тренкова</w:t>
      </w:r>
      <w:r>
        <w:rPr>
          <w:rFonts w:cs="Times New Roman" w:ascii="Times New Roman" w:hAnsi="Times New Roman"/>
          <w:sz w:val="28"/>
          <w:szCs w:val="28"/>
          <w:lang w:val="ru-RU"/>
        </w:rPr>
        <w:t xml:space="preserve"> - 1984г. публикуват наблюденията си върху кинезитерапевтично лечение на ученици с кифози. В методиката използват аналитична мускулна тренировка за екстензорите на гръбначния стълб и ПИР за скъсени мускули на раменния пояс.</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b/>
          <w:sz w:val="28"/>
          <w:szCs w:val="28"/>
          <w:lang w:val="ru-RU"/>
        </w:rPr>
        <w:t>Тренкова, Георгиева</w:t>
      </w:r>
      <w:r>
        <w:rPr>
          <w:rFonts w:cs="Times New Roman" w:ascii="Times New Roman" w:hAnsi="Times New Roman"/>
          <w:sz w:val="28"/>
          <w:szCs w:val="28"/>
          <w:lang w:val="ru-RU"/>
        </w:rPr>
        <w:t xml:space="preserve"> - 1993 г. в списание "Наука и спорт" описват методика на кинезитерапия при лечение на болеста на Шоерман при състезатели по Акробатика с болков синдром.</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Очевидно е, че българските ортопеди, травматолози и кинезитерапевти са длъжници към този все така актуален медико-социален проблем.</w:t>
      </w:r>
    </w:p>
    <w:p>
      <w:pPr>
        <w:pStyle w:val="PlainText"/>
        <w:spacing w:lineRule="auto" w:line="360"/>
        <w:ind w:firstLine="708"/>
        <w:jc w:val="both"/>
        <w:rPr>
          <w:rFonts w:ascii="Times New Roman" w:hAnsi="Times New Roman" w:cs="Times New Roman"/>
          <w:b/>
          <w:sz w:val="28"/>
          <w:szCs w:val="28"/>
          <w:lang w:val="ru-RU"/>
        </w:rPr>
      </w:pPr>
      <w:r>
        <w:rPr>
          <w:rFonts w:cs="Times New Roman" w:ascii="Times New Roman" w:hAnsi="Times New Roman"/>
          <w:sz w:val="28"/>
          <w:szCs w:val="28"/>
          <w:lang w:val="ru-RU"/>
        </w:rPr>
        <w:t>Като цяло авторите отбелязват, че много често въпреки кинезитерапията, която се извършва, кифозите еволюират и се налага оперативно лечение. Препоръчват на пациентите с кифози: плуване и елементи от спортни игри, а забраняват колоездене, возене на мотоциклет и яздене на кон.  Младите болни трябва активно да спортуват и ако имат увлечение може да си разрешат дори такива спортове, които обикновено не се препоръчват, като футбол, гребане и др.</w:t>
      </w:r>
    </w:p>
    <w:p>
      <w:pPr>
        <w:pStyle w:val="Normal"/>
        <w:spacing w:lineRule="auto" w:line="360"/>
        <w:ind w:left="360" w:hanging="0"/>
        <w:rPr>
          <w:rFonts w:ascii="Times New Roman" w:hAnsi="Times New Roman" w:cs="Times New Roman"/>
          <w:b/>
          <w:sz w:val="28"/>
          <w:szCs w:val="28"/>
          <w:lang w:val="ru-RU"/>
        </w:rPr>
      </w:pPr>
      <w:r>
        <w:rPr>
          <w:rFonts w:cs="Times New Roman"/>
          <w:sz w:val="28"/>
          <w:szCs w:val="28"/>
          <w:lang w:val="ru-RU"/>
        </w:rPr>
      </w:r>
    </w:p>
    <w:p>
      <w:pPr>
        <w:pStyle w:val="Normal"/>
        <w:spacing w:lineRule="auto" w:line="360"/>
        <w:ind w:left="360" w:hanging="0"/>
        <w:rPr>
          <w:rFonts w:ascii="Times New Roman" w:hAnsi="Times New Roman" w:cs="Times New Roman"/>
          <w:b/>
          <w:sz w:val="28"/>
          <w:szCs w:val="28"/>
          <w:lang w:val="ru-RU"/>
        </w:rPr>
      </w:pPr>
      <w:r>
        <w:rPr>
          <w:sz w:val="28"/>
          <w:szCs w:val="28"/>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jc w:val="center"/>
        <w:rPr>
          <w:rFonts w:ascii="Times New Roman" w:hAnsi="Times New Roman" w:cs="Times New Roman"/>
          <w:b/>
          <w:sz w:val="28"/>
          <w:szCs w:val="28"/>
          <w:lang w:val="ru-RU"/>
        </w:rPr>
      </w:pPr>
      <w:r>
        <w:rPr>
          <w:b/>
          <w:sz w:val="52"/>
          <w:szCs w:val="52"/>
        </w:rPr>
        <w:t>СОБСТВЕНИ НАБЛЮДЕНИЯ</w:t>
      </w:r>
    </w:p>
    <w:p>
      <w:pPr>
        <w:pStyle w:val="Normal"/>
        <w:spacing w:lineRule="auto" w:line="360"/>
        <w:ind w:left="360" w:hanging="0"/>
        <w:rPr>
          <w:rFonts w:ascii="Times New Roman" w:hAnsi="Times New Roman" w:cs="Times New Roman"/>
          <w:b/>
          <w:sz w:val="28"/>
          <w:szCs w:val="28"/>
          <w:lang w:val="ru-RU"/>
        </w:rPr>
      </w:pPr>
      <w:r>
        <w:rPr>
          <w:b/>
          <w:sz w:val="52"/>
          <w:szCs w:val="52"/>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spacing w:lineRule="auto" w:line="360"/>
        <w:rPr>
          <w:rFonts w:ascii="Times New Roman" w:hAnsi="Times New Roman" w:cs="Times New Roman"/>
          <w:b/>
          <w:sz w:val="28"/>
          <w:szCs w:val="28"/>
          <w:lang w:val="ru-RU"/>
        </w:rPr>
      </w:pPr>
      <w:r>
        <w:rPr/>
      </w:r>
    </w:p>
    <w:p>
      <w:pPr>
        <w:pStyle w:val="Normal"/>
        <w:spacing w:lineRule="auto" w:line="360"/>
        <w:ind w:left="360" w:hanging="0"/>
        <w:rPr>
          <w:rFonts w:ascii="Times New Roman" w:hAnsi="Times New Roman" w:cs="Times New Roman"/>
          <w:b/>
          <w:sz w:val="28"/>
          <w:szCs w:val="28"/>
          <w:lang w:val="ru-RU"/>
        </w:rPr>
      </w:pPr>
      <w:r>
        <w:rPr/>
      </w:r>
    </w:p>
    <w:p>
      <w:pPr>
        <w:pStyle w:val="Normal"/>
        <w:numPr>
          <w:ilvl w:val="0"/>
          <w:numId w:val="9"/>
        </w:numPr>
        <w:spacing w:lineRule="auto" w:line="360"/>
        <w:jc w:val="center"/>
        <w:rPr>
          <w:b/>
          <w:sz w:val="32"/>
          <w:szCs w:val="32"/>
        </w:rPr>
      </w:pPr>
      <w:r>
        <w:rPr>
          <w:b/>
          <w:sz w:val="32"/>
          <w:szCs w:val="32"/>
        </w:rPr>
        <w:t>ЦЕЛ И ЗАДАЧИ НА ДИПЛОМНАТА РАБОТА</w:t>
      </w:r>
    </w:p>
    <w:p>
      <w:pPr>
        <w:pStyle w:val="Normal"/>
        <w:spacing w:lineRule="auto" w:line="360"/>
        <w:jc w:val="both"/>
        <w:rPr>
          <w:b/>
          <w:sz w:val="32"/>
          <w:szCs w:val="32"/>
        </w:rPr>
      </w:pPr>
      <w:r>
        <w:rPr>
          <w:b/>
          <w:sz w:val="28"/>
          <w:szCs w:val="28"/>
          <w:lang w:val="en-US"/>
        </w:rPr>
      </w:r>
    </w:p>
    <w:p>
      <w:pPr>
        <w:pStyle w:val="Normal"/>
        <w:spacing w:lineRule="auto" w:line="360"/>
        <w:ind w:left="360" w:hanging="0"/>
        <w:jc w:val="both"/>
        <w:rPr>
          <w:b/>
          <w:sz w:val="32"/>
          <w:szCs w:val="32"/>
        </w:rPr>
      </w:pPr>
      <w:r>
        <w:rPr>
          <w:b/>
          <w:sz w:val="28"/>
          <w:szCs w:val="28"/>
        </w:rPr>
        <w:t>ЦЕЛ:</w:t>
      </w:r>
      <w:r>
        <w:rPr>
          <w:sz w:val="28"/>
          <w:szCs w:val="28"/>
        </w:rPr>
        <w:t xml:space="preserve">  Проучване честотата, степента на изразеност и агравиращото влияние на скъсената ишиокрурална мускулатура върху кифотичните деформации, както и възможностите за възстановяването им чрез</w:t>
      </w:r>
      <w:r>
        <w:rPr>
          <w:sz w:val="32"/>
          <w:szCs w:val="32"/>
        </w:rPr>
        <w:t xml:space="preserve"> </w:t>
      </w:r>
      <w:r>
        <w:rPr>
          <w:sz w:val="28"/>
          <w:szCs w:val="28"/>
        </w:rPr>
        <w:t xml:space="preserve">кинезитерапевтични мероприятия. </w:t>
      </w:r>
    </w:p>
    <w:p>
      <w:pPr>
        <w:pStyle w:val="Normal"/>
        <w:spacing w:lineRule="auto" w:line="360"/>
        <w:jc w:val="both"/>
        <w:rPr>
          <w:b/>
          <w:sz w:val="32"/>
          <w:szCs w:val="32"/>
        </w:rPr>
      </w:pPr>
      <w:r>
        <w:rPr>
          <w:sz w:val="28"/>
          <w:szCs w:val="28"/>
          <w:lang w:val="en-US"/>
        </w:rPr>
      </w:r>
    </w:p>
    <w:p>
      <w:pPr>
        <w:pStyle w:val="Normal"/>
        <w:spacing w:lineRule="auto" w:line="360"/>
        <w:ind w:left="360" w:hanging="0"/>
        <w:jc w:val="both"/>
        <w:rPr>
          <w:b/>
          <w:sz w:val="32"/>
          <w:szCs w:val="32"/>
        </w:rPr>
      </w:pPr>
      <w:r>
        <w:rPr>
          <w:b/>
          <w:sz w:val="28"/>
          <w:szCs w:val="28"/>
        </w:rPr>
        <w:t>ЗАДАЧИ :</w:t>
      </w:r>
    </w:p>
    <w:p>
      <w:pPr>
        <w:pStyle w:val="Normal"/>
        <w:spacing w:lineRule="auto" w:line="360"/>
        <w:jc w:val="both"/>
        <w:rPr>
          <w:b/>
          <w:sz w:val="32"/>
          <w:szCs w:val="32"/>
        </w:rPr>
      </w:pPr>
      <w:r>
        <w:rPr>
          <w:b/>
          <w:sz w:val="28"/>
          <w:szCs w:val="28"/>
          <w:lang w:val="en-US"/>
        </w:rPr>
      </w:r>
    </w:p>
    <w:p>
      <w:pPr>
        <w:pStyle w:val="Normal"/>
        <w:numPr>
          <w:ilvl w:val="0"/>
          <w:numId w:val="6"/>
        </w:numPr>
        <w:spacing w:lineRule="auto" w:line="360"/>
        <w:jc w:val="both"/>
        <w:rPr>
          <w:sz w:val="28"/>
          <w:szCs w:val="28"/>
        </w:rPr>
      </w:pPr>
      <w:r>
        <w:rPr>
          <w:sz w:val="28"/>
          <w:szCs w:val="28"/>
        </w:rPr>
        <w:t>Проучване на достъпни литературни източници и изготвяне на детайлна литературна справка по разглеждания проблем</w:t>
      </w:r>
    </w:p>
    <w:p>
      <w:pPr>
        <w:pStyle w:val="Normal"/>
        <w:spacing w:lineRule="auto" w:line="360"/>
        <w:ind w:left="360" w:hanging="0"/>
        <w:jc w:val="both"/>
        <w:rPr>
          <w:sz w:val="28"/>
          <w:szCs w:val="28"/>
        </w:rPr>
      </w:pPr>
      <w:r>
        <w:rPr>
          <w:sz w:val="28"/>
          <w:szCs w:val="28"/>
        </w:rPr>
      </w:r>
    </w:p>
    <w:p>
      <w:pPr>
        <w:pStyle w:val="Normal"/>
        <w:numPr>
          <w:ilvl w:val="0"/>
          <w:numId w:val="6"/>
        </w:numPr>
        <w:spacing w:lineRule="auto" w:line="360"/>
        <w:jc w:val="both"/>
        <w:rPr>
          <w:sz w:val="28"/>
          <w:szCs w:val="28"/>
        </w:rPr>
      </w:pPr>
      <w:r>
        <w:rPr>
          <w:sz w:val="28"/>
          <w:szCs w:val="28"/>
        </w:rPr>
        <w:t>Разработване на кинезитерапевтична методика за преодоляване  на контрактурите на ишиокруралната мускулатура</w:t>
      </w:r>
    </w:p>
    <w:p>
      <w:pPr>
        <w:pStyle w:val="Normal"/>
        <w:spacing w:lineRule="auto" w:line="360"/>
        <w:jc w:val="both"/>
        <w:rPr>
          <w:sz w:val="28"/>
          <w:szCs w:val="28"/>
        </w:rPr>
      </w:pPr>
      <w:r>
        <w:rPr>
          <w:sz w:val="28"/>
          <w:szCs w:val="28"/>
        </w:rPr>
      </w:r>
    </w:p>
    <w:p>
      <w:pPr>
        <w:pStyle w:val="Normal"/>
        <w:spacing w:lineRule="auto" w:line="360"/>
        <w:ind w:left="360" w:hanging="0"/>
        <w:jc w:val="both"/>
        <w:rPr>
          <w:sz w:val="28"/>
          <w:szCs w:val="28"/>
        </w:rPr>
      </w:pPr>
      <w:r>
        <w:rPr>
          <w:sz w:val="28"/>
          <w:szCs w:val="28"/>
        </w:rPr>
      </w:r>
    </w:p>
    <w:p>
      <w:pPr>
        <w:pStyle w:val="Normal"/>
        <w:numPr>
          <w:ilvl w:val="0"/>
          <w:numId w:val="6"/>
        </w:numPr>
        <w:spacing w:lineRule="auto" w:line="360"/>
        <w:jc w:val="both"/>
        <w:rPr>
          <w:sz w:val="28"/>
          <w:szCs w:val="28"/>
        </w:rPr>
      </w:pPr>
      <w:r>
        <w:rPr>
          <w:sz w:val="28"/>
          <w:szCs w:val="28"/>
        </w:rPr>
        <w:t>Подбор на подходящи от клинична гледна точка методи за функционална диагностика и уточняване на сроковете за изпълнението им</w:t>
      </w:r>
    </w:p>
    <w:p>
      <w:pPr>
        <w:pStyle w:val="Normal"/>
        <w:spacing w:lineRule="auto" w:line="360"/>
        <w:ind w:left="360" w:hanging="0"/>
        <w:jc w:val="both"/>
        <w:rPr>
          <w:sz w:val="28"/>
          <w:szCs w:val="28"/>
        </w:rPr>
      </w:pPr>
      <w:r>
        <w:rPr>
          <w:sz w:val="28"/>
          <w:szCs w:val="28"/>
        </w:rPr>
      </w:r>
    </w:p>
    <w:p>
      <w:pPr>
        <w:pStyle w:val="Normal"/>
        <w:numPr>
          <w:ilvl w:val="0"/>
          <w:numId w:val="6"/>
        </w:numPr>
        <w:spacing w:lineRule="auto" w:line="360"/>
        <w:jc w:val="both"/>
        <w:rPr>
          <w:sz w:val="28"/>
          <w:szCs w:val="28"/>
        </w:rPr>
      </w:pPr>
      <w:r>
        <w:rPr>
          <w:sz w:val="28"/>
          <w:szCs w:val="28"/>
        </w:rPr>
        <w:t>Уточняване времетраенето на процедурите и техния брой</w:t>
      </w:r>
    </w:p>
    <w:p>
      <w:pPr>
        <w:pStyle w:val="Normal"/>
        <w:spacing w:lineRule="auto" w:line="360"/>
        <w:jc w:val="both"/>
        <w:rPr>
          <w:sz w:val="28"/>
          <w:szCs w:val="28"/>
        </w:rPr>
      </w:pPr>
      <w:r>
        <w:rPr>
          <w:sz w:val="28"/>
          <w:szCs w:val="28"/>
        </w:rPr>
      </w:r>
    </w:p>
    <w:p>
      <w:pPr>
        <w:pStyle w:val="Normal"/>
        <w:spacing w:lineRule="auto" w:line="360"/>
        <w:ind w:left="360" w:hanging="0"/>
        <w:jc w:val="both"/>
        <w:rPr>
          <w:sz w:val="28"/>
          <w:szCs w:val="28"/>
        </w:rPr>
      </w:pPr>
      <w:r>
        <w:rPr>
          <w:sz w:val="28"/>
          <w:szCs w:val="28"/>
        </w:rPr>
      </w:r>
    </w:p>
    <w:p>
      <w:pPr>
        <w:pStyle w:val="Normal"/>
        <w:numPr>
          <w:ilvl w:val="0"/>
          <w:numId w:val="6"/>
        </w:numPr>
        <w:spacing w:lineRule="auto" w:line="360"/>
        <w:jc w:val="both"/>
        <w:rPr>
          <w:sz w:val="28"/>
          <w:szCs w:val="28"/>
        </w:rPr>
      </w:pPr>
      <w:r>
        <w:rPr>
          <w:sz w:val="28"/>
          <w:szCs w:val="28"/>
        </w:rPr>
        <w:t>Уточняване методите за повлияване на болевия синдром; възстановяване мускулния дисбаланс и кинестатичните възприятия за правилна поза и походка</w:t>
      </w:r>
    </w:p>
    <w:p>
      <w:pPr>
        <w:pStyle w:val="Normal"/>
        <w:spacing w:lineRule="auto" w:line="360"/>
        <w:ind w:left="360" w:hanging="0"/>
        <w:jc w:val="both"/>
        <w:rPr>
          <w:sz w:val="28"/>
          <w:szCs w:val="28"/>
        </w:rPr>
      </w:pPr>
      <w:r>
        <w:rPr>
          <w:sz w:val="28"/>
          <w:szCs w:val="28"/>
        </w:rPr>
      </w:r>
    </w:p>
    <w:p>
      <w:pPr>
        <w:pStyle w:val="Normal"/>
        <w:numPr>
          <w:ilvl w:val="0"/>
          <w:numId w:val="6"/>
        </w:numPr>
        <w:spacing w:lineRule="auto" w:line="360"/>
        <w:jc w:val="both"/>
        <w:rPr>
          <w:sz w:val="28"/>
          <w:szCs w:val="28"/>
        </w:rPr>
      </w:pPr>
      <w:r>
        <w:rPr>
          <w:sz w:val="28"/>
          <w:szCs w:val="28"/>
        </w:rPr>
        <w:t>Възоснова на получените данни да се извърши анализ на резултатите с цел установяване ефективноста на прилаганата кинезитерапевтична методика</w:t>
      </w:r>
    </w:p>
    <w:p>
      <w:pPr>
        <w:pStyle w:val="Normal"/>
        <w:spacing w:lineRule="auto" w:line="360"/>
        <w:jc w:val="both"/>
        <w:rPr>
          <w:sz w:val="28"/>
          <w:szCs w:val="28"/>
        </w:rPr>
      </w:pPr>
      <w:r>
        <w:rPr>
          <w:sz w:val="28"/>
          <w:szCs w:val="28"/>
        </w:rPr>
      </w:r>
    </w:p>
    <w:p>
      <w:pPr>
        <w:pStyle w:val="Normal"/>
        <w:numPr>
          <w:ilvl w:val="0"/>
          <w:numId w:val="6"/>
        </w:numPr>
        <w:spacing w:lineRule="auto" w:line="360"/>
        <w:jc w:val="both"/>
        <w:rPr>
          <w:sz w:val="28"/>
          <w:szCs w:val="28"/>
        </w:rPr>
      </w:pPr>
      <w:r>
        <w:rPr>
          <w:sz w:val="28"/>
          <w:szCs w:val="28"/>
        </w:rPr>
        <w:t>На базата на извършения анализ да се направят съответните изводи и препоръки</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b/>
          <w:sz w:val="32"/>
          <w:szCs w:val="32"/>
        </w:rPr>
        <w:t xml:space="preserve">2.КОНТИНГЕНТ И ОРГАНИЗАЦИЯ НА НАБЛЮДЕНИЕТО </w:t>
      </w:r>
    </w:p>
    <w:p>
      <w:pPr>
        <w:pStyle w:val="Normal"/>
        <w:spacing w:lineRule="auto" w:line="360"/>
        <w:jc w:val="both"/>
        <w:rPr>
          <w:sz w:val="28"/>
          <w:szCs w:val="28"/>
        </w:rPr>
      </w:pPr>
      <w:r>
        <w:rPr>
          <w:b/>
          <w:sz w:val="32"/>
          <w:szCs w:val="32"/>
          <w:lang w:val="en-US"/>
        </w:rPr>
      </w:r>
    </w:p>
    <w:p>
      <w:pPr>
        <w:pStyle w:val="Normal"/>
        <w:spacing w:lineRule="auto" w:line="360"/>
        <w:ind w:firstLine="708"/>
        <w:jc w:val="both"/>
        <w:rPr>
          <w:sz w:val="28"/>
          <w:szCs w:val="28"/>
        </w:rPr>
      </w:pPr>
      <w:r>
        <w:rPr>
          <w:sz w:val="28"/>
          <w:szCs w:val="28"/>
        </w:rPr>
        <w:t xml:space="preserve">Наблюдението включва 14 деца с кифотична деформация (9 момичета и 5 момчета ) насочени за лечение от републиканската лечебно-профилактична мрежа. Наблюдението проведохме от месец април 2004 до месец март 2005г. в рехабилитационен център „Св. Троица”. Пациентите бяха в следните възрастови групи: </w:t>
      </w:r>
    </w:p>
    <w:p>
      <w:pPr>
        <w:pStyle w:val="Normal"/>
        <w:numPr>
          <w:ilvl w:val="0"/>
          <w:numId w:val="7"/>
        </w:numPr>
        <w:spacing w:lineRule="auto" w:line="360"/>
        <w:jc w:val="both"/>
        <w:rPr>
          <w:sz w:val="28"/>
          <w:szCs w:val="28"/>
        </w:rPr>
      </w:pPr>
      <w:r>
        <w:rPr>
          <w:sz w:val="28"/>
          <w:szCs w:val="28"/>
        </w:rPr>
        <w:t xml:space="preserve">до 10 години – 7 броя, </w:t>
      </w:r>
    </w:p>
    <w:p>
      <w:pPr>
        <w:pStyle w:val="Normal"/>
        <w:numPr>
          <w:ilvl w:val="0"/>
          <w:numId w:val="7"/>
        </w:numPr>
        <w:spacing w:lineRule="auto" w:line="360"/>
        <w:jc w:val="both"/>
        <w:rPr>
          <w:sz w:val="28"/>
          <w:szCs w:val="28"/>
        </w:rPr>
      </w:pPr>
      <w:r>
        <w:rPr>
          <w:sz w:val="28"/>
          <w:szCs w:val="28"/>
        </w:rPr>
        <w:t xml:space="preserve">от 10 до 16 – 5 броя </w:t>
      </w:r>
    </w:p>
    <w:p>
      <w:pPr>
        <w:pStyle w:val="Normal"/>
        <w:numPr>
          <w:ilvl w:val="0"/>
          <w:numId w:val="7"/>
        </w:numPr>
        <w:spacing w:lineRule="auto" w:line="360"/>
        <w:jc w:val="both"/>
        <w:rPr>
          <w:sz w:val="28"/>
          <w:szCs w:val="28"/>
        </w:rPr>
      </w:pPr>
      <w:r>
        <w:rPr>
          <w:sz w:val="28"/>
          <w:szCs w:val="28"/>
        </w:rPr>
        <w:t>над 16 години – 2 броя.</w:t>
      </w:r>
    </w:p>
    <w:p>
      <w:pPr>
        <w:pStyle w:val="Normal"/>
        <w:spacing w:lineRule="auto" w:line="360"/>
        <w:jc w:val="both"/>
        <w:rPr>
          <w:sz w:val="28"/>
          <w:szCs w:val="28"/>
        </w:rPr>
      </w:pPr>
      <w:r>
        <w:rPr>
          <w:sz w:val="28"/>
          <w:szCs w:val="28"/>
        </w:rPr>
      </w:r>
    </w:p>
    <w:p>
      <w:pPr>
        <w:pStyle w:val="Normal"/>
        <w:spacing w:lineRule="auto" w:line="360"/>
        <w:ind w:firstLine="708"/>
        <w:jc w:val="both"/>
        <w:rPr>
          <w:sz w:val="28"/>
          <w:szCs w:val="28"/>
        </w:rPr>
      </w:pPr>
      <w:r>
        <w:rPr>
          <w:sz w:val="28"/>
          <w:szCs w:val="28"/>
        </w:rPr>
        <w:t xml:space="preserve"> </w:t>
      </w:r>
      <w:r>
        <w:rPr>
          <w:sz w:val="28"/>
          <w:szCs w:val="28"/>
        </w:rPr>
        <w:t>При наблюдаваните пациенти проследихме разлика в дължината на долни крайници от изходно положние тилен лег и стоеж; отклонение от нормата на коленни,  глезенни стави и ходило; позиции на таза във фронтална и сагитални равнини; степен и вариабилност на мускулен дисбаланс.</w:t>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t>Разпределението на контингента по групи, възраст, локализация и патологичен признак са описани в таблица №1.</w:t>
      </w:r>
    </w:p>
    <w:tbl>
      <w:tblPr>
        <w:tblW w:w="9288" w:type="dxa"/>
        <w:jc w:val="left"/>
        <w:tblInd w:w="0" w:type="dxa"/>
        <w:tblLayout w:type="fixed"/>
        <w:tblCellMar>
          <w:top w:w="0" w:type="dxa"/>
          <w:left w:w="108" w:type="dxa"/>
          <w:bottom w:w="0" w:type="dxa"/>
          <w:right w:w="108" w:type="dxa"/>
        </w:tblCellMar>
      </w:tblPr>
      <w:tblGrid>
        <w:gridCol w:w="1368"/>
        <w:gridCol w:w="900"/>
        <w:gridCol w:w="1080"/>
        <w:gridCol w:w="1309"/>
        <w:gridCol w:w="1254"/>
        <w:gridCol w:w="630"/>
        <w:gridCol w:w="750"/>
        <w:gridCol w:w="750"/>
        <w:gridCol w:w="750"/>
        <w:gridCol w:w="497"/>
      </w:tblGrid>
      <w:tr>
        <w:trPr/>
        <w:tc>
          <w:tcPr>
            <w:tcW w:w="1368" w:type="dxa"/>
            <w:vMerge w:val="restart"/>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t>Група</w:t>
            </w:r>
          </w:p>
        </w:tc>
        <w:tc>
          <w:tcPr>
            <w:tcW w:w="900" w:type="dxa"/>
            <w:vMerge w:val="restart"/>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t>Брой</w:t>
            </w:r>
          </w:p>
        </w:tc>
        <w:tc>
          <w:tcPr>
            <w:tcW w:w="1080" w:type="dxa"/>
            <w:vMerge w:val="restart"/>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t>Възраст</w:t>
            </w:r>
          </w:p>
        </w:tc>
        <w:tc>
          <w:tcPr>
            <w:tcW w:w="2563"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t>Локализация</w:t>
            </w:r>
          </w:p>
        </w:tc>
        <w:tc>
          <w:tcPr>
            <w:tcW w:w="3377" w:type="dxa"/>
            <w:gridSpan w:val="5"/>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t>Връх на деформитетната дъга</w:t>
            </w:r>
          </w:p>
        </w:tc>
      </w:tr>
      <w:tr>
        <w:trPr/>
        <w:tc>
          <w:tcPr>
            <w:tcW w:w="1368" w:type="dxa"/>
            <w:vMerge w:val="continue"/>
            <w:tcBorders>
              <w:top w:val="single" w:sz="12" w:space="0" w:color="000000"/>
              <w:left w:val="single" w:sz="12" w:space="0" w:color="000000"/>
              <w:bottom w:val="single" w:sz="12" w:space="0" w:color="000000"/>
              <w:right w:val="single" w:sz="12" w:space="0" w:color="000000"/>
            </w:tcBorders>
            <w:vAlign w:val="center"/>
          </w:tcPr>
          <w:p>
            <w:pPr>
              <w:pStyle w:val="Normal"/>
              <w:snapToGrid w:val="false"/>
              <w:spacing w:lineRule="auto" w:line="360"/>
              <w:jc w:val="both"/>
              <w:rPr/>
            </w:pPr>
            <w:r>
              <w:rPr/>
            </w:r>
          </w:p>
        </w:tc>
        <w:tc>
          <w:tcPr>
            <w:tcW w:w="900" w:type="dxa"/>
            <w:vMerge w:val="continue"/>
            <w:tcBorders>
              <w:top w:val="single" w:sz="12" w:space="0" w:color="000000"/>
              <w:left w:val="single" w:sz="12" w:space="0" w:color="000000"/>
              <w:bottom w:val="single" w:sz="12" w:space="0" w:color="000000"/>
              <w:right w:val="single" w:sz="12" w:space="0" w:color="000000"/>
            </w:tcBorders>
            <w:vAlign w:val="center"/>
          </w:tcPr>
          <w:p>
            <w:pPr>
              <w:pStyle w:val="Normal"/>
              <w:snapToGrid w:val="false"/>
              <w:spacing w:lineRule="auto" w:line="360"/>
              <w:jc w:val="center"/>
              <w:rPr/>
            </w:pPr>
            <w:r>
              <w:rPr/>
            </w:r>
          </w:p>
        </w:tc>
        <w:tc>
          <w:tcPr>
            <w:tcW w:w="1080" w:type="dxa"/>
            <w:vMerge w:val="continue"/>
            <w:tcBorders>
              <w:top w:val="single" w:sz="12" w:space="0" w:color="000000"/>
              <w:left w:val="single" w:sz="12" w:space="0" w:color="000000"/>
              <w:bottom w:val="single" w:sz="12" w:space="0" w:color="000000"/>
              <w:right w:val="single" w:sz="12" w:space="0" w:color="000000"/>
            </w:tcBorders>
            <w:vAlign w:val="center"/>
          </w:tcPr>
          <w:p>
            <w:pPr>
              <w:pStyle w:val="Normal"/>
              <w:snapToGrid w:val="false"/>
              <w:spacing w:lineRule="auto" w:line="360"/>
              <w:jc w:val="center"/>
              <w:rPr/>
            </w:pPr>
            <w:r>
              <w:rPr/>
            </w:r>
          </w:p>
        </w:tc>
        <w:tc>
          <w:tcPr>
            <w:tcW w:w="1309"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t>Торакален</w:t>
            </w:r>
          </w:p>
        </w:tc>
        <w:tc>
          <w:tcPr>
            <w:tcW w:w="125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t xml:space="preserve">Торако- </w:t>
            </w:r>
          </w:p>
          <w:p>
            <w:pPr>
              <w:pStyle w:val="Normal"/>
              <w:spacing w:lineRule="auto" w:line="360"/>
              <w:jc w:val="center"/>
              <w:rPr/>
            </w:pPr>
            <w:r>
              <w:rPr/>
              <w:t>лумбален</w:t>
            </w:r>
          </w:p>
        </w:tc>
        <w:tc>
          <w:tcPr>
            <w:tcW w:w="63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lang w:val="en-US"/>
              </w:rPr>
            </w:pPr>
            <w:r>
              <w:rPr>
                <w:lang w:val="en-US"/>
              </w:rPr>
              <w:t>Th9</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lang w:val="en-US"/>
              </w:rPr>
            </w:pPr>
            <w:r>
              <w:rPr>
                <w:lang w:val="en-US"/>
              </w:rPr>
              <w:t>Th10</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lang w:val="en-US"/>
              </w:rPr>
            </w:pPr>
            <w:r>
              <w:rPr>
                <w:lang w:val="en-US"/>
              </w:rPr>
              <w:t>Th11</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lang w:val="en-US"/>
              </w:rPr>
            </w:pPr>
            <w:r>
              <w:rPr>
                <w:lang w:val="en-US"/>
              </w:rPr>
              <w:t>Th12</w:t>
            </w:r>
          </w:p>
        </w:tc>
        <w:tc>
          <w:tcPr>
            <w:tcW w:w="49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lang w:val="en-US"/>
              </w:rPr>
            </w:pPr>
            <w:r>
              <w:rPr>
                <w:lang w:val="en-US"/>
              </w:rPr>
              <w:t>L1</w:t>
            </w:r>
          </w:p>
        </w:tc>
      </w:tr>
      <w:tr>
        <w:trPr/>
        <w:tc>
          <w:tcPr>
            <w:tcW w:w="13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t>„</w:t>
            </w:r>
            <w:r>
              <w:rPr/>
              <w:t>А”  Работна</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rPr>
            </w:pPr>
            <w:r>
              <w:rPr>
                <w:b/>
              </w:rPr>
              <w:t>7</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rPr>
            </w:pPr>
            <w:r>
              <w:rPr>
                <w:b/>
              </w:rPr>
              <w:t>13,42</w:t>
            </w:r>
          </w:p>
        </w:tc>
        <w:tc>
          <w:tcPr>
            <w:tcW w:w="1309"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4</w:t>
            </w:r>
          </w:p>
        </w:tc>
        <w:tc>
          <w:tcPr>
            <w:tcW w:w="125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3</w:t>
            </w:r>
          </w:p>
        </w:tc>
        <w:tc>
          <w:tcPr>
            <w:tcW w:w="63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3</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2</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1</w:t>
            </w:r>
          </w:p>
        </w:tc>
        <w:tc>
          <w:tcPr>
            <w:tcW w:w="49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1</w:t>
            </w:r>
          </w:p>
        </w:tc>
      </w:tr>
      <w:tr>
        <w:trPr/>
        <w:tc>
          <w:tcPr>
            <w:tcW w:w="13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t>„</w:t>
            </w:r>
            <w:r>
              <w:rPr/>
              <w:t>Б” Контролна</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rPr>
            </w:pPr>
            <w:r>
              <w:rPr>
                <w:b/>
              </w:rPr>
              <w:t>7</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rPr>
            </w:pPr>
            <w:r>
              <w:rPr>
                <w:b/>
              </w:rPr>
              <w:t>13,28</w:t>
            </w:r>
          </w:p>
        </w:tc>
        <w:tc>
          <w:tcPr>
            <w:tcW w:w="1309"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5</w:t>
            </w:r>
          </w:p>
        </w:tc>
        <w:tc>
          <w:tcPr>
            <w:tcW w:w="125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2</w:t>
            </w:r>
          </w:p>
        </w:tc>
        <w:tc>
          <w:tcPr>
            <w:tcW w:w="63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1</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2</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3</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1</w:t>
            </w:r>
          </w:p>
        </w:tc>
        <w:tc>
          <w:tcPr>
            <w:tcW w:w="49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w:t>
            </w:r>
          </w:p>
        </w:tc>
      </w:tr>
      <w:tr>
        <w:trPr/>
        <w:tc>
          <w:tcPr>
            <w:tcW w:w="13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t xml:space="preserve">Общо </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rPr>
            </w:pPr>
            <w:r>
              <w:rPr>
                <w:b/>
              </w:rPr>
              <w:t>14</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rPr>
            </w:pPr>
            <w:r>
              <w:rPr>
                <w:b/>
              </w:rPr>
              <w:t>13,35</w:t>
            </w:r>
          </w:p>
        </w:tc>
        <w:tc>
          <w:tcPr>
            <w:tcW w:w="1309"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9</w:t>
            </w:r>
          </w:p>
        </w:tc>
        <w:tc>
          <w:tcPr>
            <w:tcW w:w="125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5</w:t>
            </w:r>
          </w:p>
        </w:tc>
        <w:tc>
          <w:tcPr>
            <w:tcW w:w="63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1</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5</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5</w:t>
            </w:r>
          </w:p>
        </w:tc>
        <w:tc>
          <w:tcPr>
            <w:tcW w:w="7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2</w:t>
            </w:r>
          </w:p>
        </w:tc>
        <w:tc>
          <w:tcPr>
            <w:tcW w:w="49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lang w:val="en-US"/>
              </w:rPr>
            </w:pPr>
            <w:r>
              <w:rPr>
                <w:b/>
                <w:lang w:val="en-US"/>
              </w:rPr>
              <w:t>1</w:t>
            </w:r>
          </w:p>
        </w:tc>
      </w:tr>
    </w:tbl>
    <w:p>
      <w:pPr>
        <w:pStyle w:val="Normal"/>
        <w:spacing w:lineRule="auto" w:line="360"/>
        <w:jc w:val="both"/>
        <w:rPr>
          <w:sz w:val="28"/>
          <w:szCs w:val="28"/>
        </w:rPr>
      </w:pPr>
      <w:r>
        <w:rPr>
          <w:sz w:val="28"/>
          <w:szCs w:val="28"/>
        </w:rPr>
        <w:tab/>
        <w:tab/>
        <w:tab/>
        <w:tab/>
        <w:tab/>
        <w:tab/>
        <w:tab/>
        <w:tab/>
        <w:tab/>
        <w:t>Таблица № 1</w:t>
      </w:r>
    </w:p>
    <w:p>
      <w:pPr>
        <w:pStyle w:val="Normal"/>
        <w:spacing w:lineRule="auto" w:line="360"/>
        <w:jc w:val="both"/>
        <w:rPr>
          <w:sz w:val="28"/>
          <w:szCs w:val="28"/>
        </w:rPr>
      </w:pPr>
      <w:r>
        <w:rPr>
          <w:sz w:val="28"/>
          <w:szCs w:val="28"/>
        </w:rPr>
      </w:r>
    </w:p>
    <w:p>
      <w:pPr>
        <w:pStyle w:val="Normal"/>
        <w:spacing w:lineRule="auto" w:line="360"/>
        <w:ind w:firstLine="708"/>
        <w:jc w:val="both"/>
        <w:rPr>
          <w:sz w:val="28"/>
          <w:szCs w:val="28"/>
        </w:rPr>
      </w:pPr>
      <w:r>
        <w:rPr>
          <w:sz w:val="28"/>
          <w:szCs w:val="28"/>
        </w:rPr>
        <w:t xml:space="preserve">За диференцирано наблюдение разделихме пациентите по равно на две групи:  Работна А и  Контролна Б. </w:t>
      </w:r>
    </w:p>
    <w:p>
      <w:pPr>
        <w:pStyle w:val="Normal"/>
        <w:spacing w:lineRule="auto" w:line="360"/>
        <w:ind w:firstLine="708"/>
        <w:jc w:val="both"/>
        <w:rPr>
          <w:sz w:val="28"/>
          <w:szCs w:val="28"/>
        </w:rPr>
      </w:pPr>
      <w:r>
        <w:rPr>
          <w:sz w:val="28"/>
          <w:szCs w:val="28"/>
        </w:rPr>
        <w:t>Особеностите на кинезитерапевтичното поведение при работната група А са описани в глава „Методика на прилаганата кинезитерапия”.</w:t>
      </w:r>
    </w:p>
    <w:p>
      <w:pPr>
        <w:pStyle w:val="Normal"/>
        <w:spacing w:lineRule="auto" w:line="360"/>
        <w:ind w:firstLine="708"/>
        <w:jc w:val="both"/>
        <w:rPr>
          <w:sz w:val="28"/>
          <w:szCs w:val="28"/>
        </w:rPr>
      </w:pPr>
      <w:r>
        <w:rPr>
          <w:sz w:val="28"/>
          <w:szCs w:val="28"/>
        </w:rPr>
        <w:t>Пациентите от контролната група са лекувани по рутинната методика описана в дипломна работа с научен ръководител  Р. Тренкова.</w:t>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jc w:val="both"/>
        <w:rPr>
          <w:sz w:val="28"/>
          <w:szCs w:val="28"/>
        </w:rPr>
      </w:pPr>
      <w:r>
        <w:rPr>
          <w:sz w:val="28"/>
          <w:szCs w:val="28"/>
          <w:lang w:val="en-US"/>
        </w:rPr>
      </w:r>
    </w:p>
    <w:p>
      <w:pPr>
        <w:pStyle w:val="Normal"/>
        <w:spacing w:lineRule="auto" w:line="360"/>
        <w:jc w:val="both"/>
        <w:rPr>
          <w:sz w:val="28"/>
          <w:szCs w:val="28"/>
        </w:rPr>
      </w:pPr>
      <w:r>
        <w:rPr>
          <w:sz w:val="28"/>
          <w:szCs w:val="28"/>
          <w:lang w:val="en-US"/>
        </w:rPr>
      </w:r>
    </w:p>
    <w:p>
      <w:pPr>
        <w:pStyle w:val="Normal"/>
        <w:spacing w:lineRule="auto" w:line="360"/>
        <w:ind w:firstLine="708"/>
        <w:jc w:val="both"/>
        <w:rPr>
          <w:sz w:val="28"/>
          <w:szCs w:val="28"/>
        </w:rPr>
      </w:pPr>
      <w:r>
        <w:rPr>
          <w:sz w:val="28"/>
          <w:szCs w:val="28"/>
          <w:lang w:val="en-US"/>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ind w:firstLine="708"/>
        <w:jc w:val="both"/>
        <w:rPr>
          <w:sz w:val="28"/>
          <w:szCs w:val="28"/>
        </w:rPr>
      </w:pPr>
      <w:r>
        <w:rPr>
          <w:sz w:val="28"/>
          <w:szCs w:val="28"/>
        </w:rPr>
      </w:r>
    </w:p>
    <w:p>
      <w:pPr>
        <w:pStyle w:val="Normal"/>
        <w:spacing w:lineRule="auto" w:line="360"/>
        <w:jc w:val="center"/>
        <w:rPr>
          <w:sz w:val="28"/>
          <w:szCs w:val="28"/>
        </w:rPr>
      </w:pPr>
      <w:r>
        <w:rPr>
          <w:b/>
          <w:sz w:val="32"/>
          <w:szCs w:val="32"/>
        </w:rPr>
        <w:t>3.МЕТОДИ ЗА ФУНКЦИОНАЛНА ДИАГНОСТИКА</w:t>
      </w:r>
    </w:p>
    <w:p>
      <w:pPr>
        <w:pStyle w:val="Normal"/>
        <w:spacing w:lineRule="auto" w:line="360"/>
        <w:rPr>
          <w:sz w:val="28"/>
          <w:szCs w:val="28"/>
        </w:rPr>
      </w:pPr>
      <w:r>
        <w:rPr>
          <w:b/>
          <w:sz w:val="32"/>
          <w:szCs w:val="32"/>
        </w:rPr>
      </w:r>
    </w:p>
    <w:p>
      <w:pPr>
        <w:pStyle w:val="Normal"/>
        <w:spacing w:lineRule="auto" w:line="360"/>
        <w:jc w:val="both"/>
        <w:rPr>
          <w:sz w:val="28"/>
          <w:szCs w:val="28"/>
        </w:rPr>
      </w:pPr>
      <w:r>
        <w:rPr>
          <w:sz w:val="28"/>
          <w:szCs w:val="28"/>
        </w:rPr>
        <w:tab/>
        <w:t>За оценяване на ефективността от експерименталната методика, наблюдаваме следните показатели:</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tbl>
      <w:tblPr>
        <w:tblW w:w="9212" w:type="dxa"/>
        <w:jc w:val="left"/>
        <w:tblInd w:w="0" w:type="dxa"/>
        <w:tblLayout w:type="fixed"/>
        <w:tblCellMar>
          <w:top w:w="0" w:type="dxa"/>
          <w:left w:w="108" w:type="dxa"/>
          <w:bottom w:w="0" w:type="dxa"/>
          <w:right w:w="108" w:type="dxa"/>
        </w:tblCellMar>
      </w:tblPr>
      <w:tblGrid>
        <w:gridCol w:w="648"/>
        <w:gridCol w:w="5493"/>
        <w:gridCol w:w="3071"/>
      </w:tblGrid>
      <w:tr>
        <w:trPr/>
        <w:tc>
          <w:tcPr>
            <w:tcW w:w="64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w:t>
            </w:r>
          </w:p>
        </w:tc>
        <w:tc>
          <w:tcPr>
            <w:tcW w:w="549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Наименование</w:t>
            </w:r>
          </w:p>
        </w:tc>
        <w:tc>
          <w:tcPr>
            <w:tcW w:w="3071"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Мерни единици</w:t>
            </w:r>
          </w:p>
        </w:tc>
      </w:tr>
      <w:tr>
        <w:trPr/>
        <w:tc>
          <w:tcPr>
            <w:tcW w:w="64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1</w:t>
            </w:r>
          </w:p>
        </w:tc>
        <w:tc>
          <w:tcPr>
            <w:tcW w:w="549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Величина на деформацията</w:t>
            </w:r>
          </w:p>
        </w:tc>
        <w:tc>
          <w:tcPr>
            <w:tcW w:w="3071"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градуси</w:t>
            </w:r>
          </w:p>
        </w:tc>
      </w:tr>
      <w:tr>
        <w:trPr/>
        <w:tc>
          <w:tcPr>
            <w:tcW w:w="64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2</w:t>
            </w:r>
          </w:p>
        </w:tc>
        <w:tc>
          <w:tcPr>
            <w:tcW w:w="549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Височина на кифозата</w:t>
            </w:r>
          </w:p>
        </w:tc>
        <w:tc>
          <w:tcPr>
            <w:tcW w:w="3071"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сантиметри</w:t>
            </w:r>
          </w:p>
        </w:tc>
      </w:tr>
      <w:tr>
        <w:trPr/>
        <w:tc>
          <w:tcPr>
            <w:tcW w:w="64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3</w:t>
            </w:r>
          </w:p>
        </w:tc>
        <w:tc>
          <w:tcPr>
            <w:tcW w:w="549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Подвижност по тест на Отт – обща подвижност</w:t>
            </w:r>
          </w:p>
        </w:tc>
        <w:tc>
          <w:tcPr>
            <w:tcW w:w="3071"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сантиметри</w:t>
            </w:r>
          </w:p>
        </w:tc>
      </w:tr>
      <w:tr>
        <w:trPr/>
        <w:tc>
          <w:tcPr>
            <w:tcW w:w="64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4</w:t>
            </w:r>
          </w:p>
        </w:tc>
        <w:tc>
          <w:tcPr>
            <w:tcW w:w="549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Подвижност на гръден кош по Хирц</w:t>
            </w:r>
          </w:p>
        </w:tc>
        <w:tc>
          <w:tcPr>
            <w:tcW w:w="3071"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сантиметри</w:t>
            </w:r>
          </w:p>
        </w:tc>
      </w:tr>
      <w:tr>
        <w:trPr/>
        <w:tc>
          <w:tcPr>
            <w:tcW w:w="64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5</w:t>
            </w:r>
          </w:p>
        </w:tc>
        <w:tc>
          <w:tcPr>
            <w:tcW w:w="549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Силова издържливост на гръбна мускулатура</w:t>
            </w:r>
          </w:p>
        </w:tc>
        <w:tc>
          <w:tcPr>
            <w:tcW w:w="3071"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секунди</w:t>
            </w:r>
          </w:p>
        </w:tc>
      </w:tr>
      <w:tr>
        <w:trPr/>
        <w:tc>
          <w:tcPr>
            <w:tcW w:w="64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6</w:t>
            </w:r>
          </w:p>
        </w:tc>
        <w:tc>
          <w:tcPr>
            <w:tcW w:w="549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Силова издържливост на коремна мускулатура</w:t>
            </w:r>
          </w:p>
        </w:tc>
        <w:tc>
          <w:tcPr>
            <w:tcW w:w="3071"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секунди</w:t>
            </w:r>
          </w:p>
        </w:tc>
      </w:tr>
      <w:tr>
        <w:trPr/>
        <w:tc>
          <w:tcPr>
            <w:tcW w:w="64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7</w:t>
            </w:r>
          </w:p>
        </w:tc>
        <w:tc>
          <w:tcPr>
            <w:tcW w:w="549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Комплексна оценка на скъсена ишиокрурална мускулатура</w:t>
            </w:r>
          </w:p>
        </w:tc>
        <w:tc>
          <w:tcPr>
            <w:tcW w:w="3071"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32"/>
                <w:szCs w:val="32"/>
              </w:rPr>
            </w:pPr>
            <w:r>
              <w:rPr>
                <w:b/>
                <w:sz w:val="32"/>
                <w:szCs w:val="32"/>
              </w:rPr>
              <w:t>точки</w:t>
            </w:r>
          </w:p>
        </w:tc>
      </w:tr>
    </w:tbl>
    <w:p>
      <w:pPr>
        <w:pStyle w:val="Normal"/>
        <w:spacing w:lineRule="auto" w:line="360"/>
        <w:jc w:val="both"/>
        <w:rPr>
          <w:sz w:val="28"/>
          <w:szCs w:val="28"/>
        </w:rPr>
      </w:pPr>
      <w:r>
        <w:rPr>
          <w:b/>
          <w:sz w:val="32"/>
          <w:szCs w:val="32"/>
        </w:rPr>
      </w:r>
    </w:p>
    <w:p>
      <w:pPr>
        <w:pStyle w:val="Normal"/>
        <w:spacing w:lineRule="auto" w:line="360"/>
        <w:jc w:val="both"/>
        <w:rPr>
          <w:sz w:val="28"/>
          <w:szCs w:val="28"/>
        </w:rPr>
      </w:pPr>
      <w:r>
        <w:rPr>
          <w:b/>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lang w:val="en-US"/>
        </w:rPr>
      </w:r>
    </w:p>
    <w:p>
      <w:pPr>
        <w:pStyle w:val="Normal"/>
        <w:numPr>
          <w:ilvl w:val="1"/>
          <w:numId w:val="11"/>
        </w:numPr>
        <w:spacing w:lineRule="auto" w:line="360"/>
        <w:jc w:val="center"/>
        <w:rPr>
          <w:b/>
          <w:sz w:val="28"/>
          <w:szCs w:val="28"/>
        </w:rPr>
      </w:pPr>
      <w:r>
        <w:rPr>
          <w:b/>
          <w:sz w:val="28"/>
          <w:szCs w:val="28"/>
        </w:rPr>
        <w:t>Величина на кифотичната деформация</w:t>
      </w:r>
    </w:p>
    <w:p>
      <w:pPr>
        <w:pStyle w:val="Normal"/>
        <w:spacing w:lineRule="auto" w:line="360"/>
        <w:jc w:val="both"/>
        <w:rPr>
          <w:b/>
          <w:sz w:val="28"/>
          <w:szCs w:val="28"/>
        </w:rPr>
      </w:pPr>
      <w:r>
        <w:rPr>
          <w:sz w:val="28"/>
          <w:szCs w:val="28"/>
        </w:rPr>
        <w:t>Тази величина измерваме използвайки профилна рентгенова снимка.</w:t>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b/>
          <w:sz w:val="28"/>
          <w:szCs w:val="28"/>
        </w:rPr>
        <w:tab/>
        <w:t xml:space="preserve">Метод на </w:t>
      </w:r>
      <w:r>
        <w:rPr>
          <w:b/>
          <w:sz w:val="28"/>
          <w:szCs w:val="28"/>
          <w:lang w:val="en-US"/>
        </w:rPr>
        <w:t>Cobb</w:t>
      </w:r>
      <w:r>
        <w:rPr>
          <w:b/>
          <w:sz w:val="28"/>
          <w:szCs w:val="28"/>
        </w:rPr>
        <w:t xml:space="preserve"> за определяне на кифотична деформация.</w:t>
      </w:r>
    </w:p>
    <w:p>
      <w:pPr>
        <w:pStyle w:val="Normal"/>
        <w:spacing w:lineRule="auto" w:line="360"/>
        <w:jc w:val="both"/>
        <w:rPr>
          <w:b/>
          <w:sz w:val="28"/>
          <w:szCs w:val="28"/>
        </w:rPr>
      </w:pPr>
      <w:r>
        <w:rPr>
          <w:b/>
          <w:sz w:val="28"/>
          <w:szCs w:val="28"/>
        </w:rPr>
      </w:r>
    </w:p>
    <w:p>
      <w:pPr>
        <w:pStyle w:val="Normal"/>
        <w:spacing w:lineRule="auto" w:line="360"/>
        <w:jc w:val="both"/>
        <w:rPr>
          <w:b/>
          <w:sz w:val="28"/>
          <w:szCs w:val="28"/>
        </w:rPr>
      </w:pPr>
      <w:r>
        <w:rPr>
          <w:b/>
          <w:sz w:val="28"/>
          <w:szCs w:val="28"/>
        </w:rPr>
      </w:r>
    </w:p>
    <w:p>
      <w:pPr>
        <w:pStyle w:val="Normal"/>
        <w:spacing w:lineRule="auto" w:line="360"/>
        <w:jc w:val="both"/>
        <w:rPr>
          <w:b/>
          <w:sz w:val="28"/>
          <w:szCs w:val="28"/>
        </w:rPr>
      </w:pPr>
      <w:r>
        <w:rPr>
          <w:b/>
          <w:sz w:val="28"/>
          <w:szCs w:val="28"/>
        </w:rPr>
      </w:r>
    </w:p>
    <w:p>
      <w:pPr>
        <w:pStyle w:val="Normal"/>
        <w:spacing w:lineRule="auto" w:line="360"/>
        <w:jc w:val="both"/>
        <w:rPr>
          <w:b/>
          <w:sz w:val="28"/>
          <w:szCs w:val="28"/>
        </w:rPr>
      </w:pPr>
      <w:r>
        <w:rPr>
          <w:b/>
          <w:sz w:val="28"/>
          <w:szCs w:val="28"/>
        </w:rPr>
      </w:r>
    </w:p>
    <w:p>
      <w:pPr>
        <w:pStyle w:val="Normal"/>
        <w:spacing w:lineRule="auto" w:line="360"/>
        <w:jc w:val="center"/>
        <w:rPr>
          <w:b/>
          <w:sz w:val="28"/>
          <w:szCs w:val="28"/>
        </w:rPr>
      </w:pPr>
      <w:r>
        <w:rPr>
          <w:sz w:val="28"/>
          <w:szCs w:val="28"/>
        </w:rPr>
        <w:drawing>
          <wp:inline distT="0" distB="0" distL="0" distR="0">
            <wp:extent cx="2255520" cy="321246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16" t="-11" r="-16" b="-11"/>
                    <a:stretch>
                      <a:fillRect/>
                    </a:stretch>
                  </pic:blipFill>
                  <pic:spPr bwMode="auto">
                    <a:xfrm>
                      <a:off x="0" y="0"/>
                      <a:ext cx="2255520" cy="3212465"/>
                    </a:xfrm>
                    <a:prstGeom prst="rect">
                      <a:avLst/>
                    </a:prstGeom>
                  </pic:spPr>
                </pic:pic>
              </a:graphicData>
            </a:graphic>
          </wp:inline>
        </w:drawing>
      </w:r>
    </w:p>
    <w:p>
      <w:pPr>
        <w:pStyle w:val="Normal"/>
        <w:spacing w:lineRule="auto" w:line="360"/>
        <w:jc w:val="center"/>
        <w:rPr>
          <w:b/>
          <w:sz w:val="28"/>
          <w:szCs w:val="28"/>
        </w:rPr>
      </w:pPr>
      <w:r>
        <w:rPr>
          <w:sz w:val="28"/>
          <w:szCs w:val="28"/>
          <w:lang w:val="en-US"/>
        </w:rPr>
      </w:r>
    </w:p>
    <w:p>
      <w:pPr>
        <w:pStyle w:val="Normal"/>
        <w:spacing w:lineRule="auto" w:line="360"/>
        <w:jc w:val="center"/>
        <w:rPr>
          <w:b/>
          <w:sz w:val="28"/>
          <w:szCs w:val="28"/>
        </w:rPr>
      </w:pPr>
      <w:r>
        <w:rPr>
          <w:sz w:val="28"/>
          <w:szCs w:val="28"/>
          <w:lang w:val="en-US"/>
        </w:rPr>
      </w:r>
    </w:p>
    <w:p>
      <w:pPr>
        <w:pStyle w:val="Normal"/>
        <w:spacing w:lineRule="auto" w:line="360"/>
        <w:jc w:val="center"/>
        <w:rPr>
          <w:b/>
          <w:sz w:val="28"/>
          <w:szCs w:val="28"/>
        </w:rPr>
      </w:pPr>
      <w:r>
        <w:rPr>
          <w:sz w:val="28"/>
          <w:szCs w:val="28"/>
          <w:lang w:val="en-US"/>
        </w:rPr>
      </w:r>
    </w:p>
    <w:p>
      <w:pPr>
        <w:pStyle w:val="Normal"/>
        <w:spacing w:lineRule="auto" w:line="360"/>
        <w:rPr>
          <w:b/>
          <w:sz w:val="28"/>
          <w:szCs w:val="28"/>
        </w:rPr>
      </w:pPr>
      <w:r>
        <w:rPr>
          <w:sz w:val="28"/>
          <w:szCs w:val="28"/>
        </w:rPr>
      </w:r>
    </w:p>
    <w:p>
      <w:pPr>
        <w:pStyle w:val="Normal"/>
        <w:spacing w:lineRule="auto" w:line="360"/>
        <w:rPr>
          <w:b/>
          <w:sz w:val="28"/>
          <w:szCs w:val="28"/>
        </w:rPr>
      </w:pPr>
      <w:r>
        <w:rPr>
          <w:sz w:val="28"/>
          <w:szCs w:val="28"/>
        </w:rPr>
      </w:r>
    </w:p>
    <w:p>
      <w:pPr>
        <w:pStyle w:val="Normal"/>
        <w:numPr>
          <w:ilvl w:val="1"/>
          <w:numId w:val="11"/>
        </w:numPr>
        <w:spacing w:lineRule="auto" w:line="360"/>
        <w:jc w:val="center"/>
        <w:rPr>
          <w:b/>
          <w:sz w:val="28"/>
          <w:szCs w:val="28"/>
        </w:rPr>
      </w:pPr>
      <w:r>
        <w:rPr>
          <w:b/>
          <w:sz w:val="28"/>
          <w:szCs w:val="28"/>
        </w:rPr>
        <w:t xml:space="preserve"> </w:t>
      </w:r>
      <w:r>
        <w:rPr>
          <w:b/>
          <w:sz w:val="28"/>
          <w:szCs w:val="28"/>
        </w:rPr>
        <w:t>Височина на кифозата</w:t>
      </w:r>
    </w:p>
    <w:p>
      <w:pPr>
        <w:pStyle w:val="Normal"/>
        <w:spacing w:lineRule="auto" w:line="360"/>
        <w:jc w:val="both"/>
        <w:rPr>
          <w:b/>
          <w:sz w:val="28"/>
          <w:szCs w:val="28"/>
        </w:rPr>
      </w:pPr>
      <w:r>
        <w:rPr>
          <w:sz w:val="28"/>
          <w:szCs w:val="28"/>
        </w:rPr>
        <w:t xml:space="preserve">Дължината на разстоянието от юголарната ямка до средата на разстоянието между двете </w:t>
      </w:r>
      <w:r>
        <w:rPr>
          <w:b/>
          <w:sz w:val="28"/>
          <w:szCs w:val="28"/>
          <w:lang w:val="en-US"/>
        </w:rPr>
        <w:t>spina iliaca anterior superior</w:t>
      </w:r>
      <w:r>
        <w:rPr>
          <w:sz w:val="28"/>
          <w:szCs w:val="28"/>
        </w:rPr>
        <w:t>, която условно нарекохме височина на кифоничния гръбначен стълб (височина на кифозата). Изследването извършихме с мека сантиметрова лента, като отчитахме величината в сантимери.</w:t>
      </w:r>
    </w:p>
    <w:p>
      <w:pPr>
        <w:pStyle w:val="Normal"/>
        <w:rPr>
          <w:b/>
          <w:sz w:val="28"/>
          <w:szCs w:val="28"/>
        </w:rPr>
      </w:pPr>
      <w:r>
        <w:rPr>
          <w:b/>
          <w:sz w:val="32"/>
          <w:szCs w:val="32"/>
        </w:rPr>
      </w:r>
    </w:p>
    <w:p>
      <w:pPr>
        <w:pStyle w:val="Normal"/>
        <w:tabs>
          <w:tab w:val="clear" w:pos="708"/>
          <w:tab w:val="left" w:pos="3807" w:leader="none"/>
        </w:tabs>
        <w:jc w:val="center"/>
        <w:rPr>
          <w:b/>
          <w:sz w:val="28"/>
          <w:szCs w:val="28"/>
        </w:rPr>
      </w:pPr>
      <w:r>
        <w:rPr>
          <w:b/>
          <w:sz w:val="32"/>
          <w:szCs w:val="32"/>
        </w:rPr>
        <w:drawing>
          <wp:inline distT="0" distB="0" distL="0" distR="0">
            <wp:extent cx="3170555" cy="4926965"/>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rcRect l="-10" t="-7" r="-10" b="-7"/>
                    <a:stretch>
                      <a:fillRect/>
                    </a:stretch>
                  </pic:blipFill>
                  <pic:spPr bwMode="auto">
                    <a:xfrm>
                      <a:off x="0" y="0"/>
                      <a:ext cx="3170555" cy="4926965"/>
                    </a:xfrm>
                    <a:prstGeom prst="rect">
                      <a:avLst/>
                    </a:prstGeom>
                  </pic:spPr>
                </pic:pic>
              </a:graphicData>
            </a:graphic>
          </wp:inline>
        </w:drawing>
      </w:r>
    </w:p>
    <w:p>
      <w:pPr>
        <w:pStyle w:val="Normal"/>
        <w:spacing w:lineRule="auto" w:line="360"/>
        <w:jc w:val="center"/>
        <w:rPr>
          <w:b/>
          <w:sz w:val="28"/>
          <w:szCs w:val="28"/>
        </w:rPr>
      </w:pPr>
      <w:r>
        <w:rPr>
          <w:b/>
          <w:sz w:val="32"/>
          <w:szCs w:val="32"/>
          <w:lang w:val="en-US"/>
        </w:rPr>
      </w:r>
    </w:p>
    <w:p>
      <w:pPr>
        <w:pStyle w:val="Normal"/>
        <w:spacing w:lineRule="auto" w:line="360"/>
        <w:rPr>
          <w:b/>
          <w:sz w:val="28"/>
          <w:szCs w:val="28"/>
        </w:rPr>
      </w:pPr>
      <w:r>
        <w:rPr>
          <w:b/>
          <w:sz w:val="32"/>
          <w:szCs w:val="32"/>
        </w:rPr>
      </w:r>
    </w:p>
    <w:p>
      <w:pPr>
        <w:pStyle w:val="Normal"/>
        <w:spacing w:lineRule="auto" w:line="360"/>
        <w:rPr>
          <w:b/>
          <w:sz w:val="28"/>
          <w:szCs w:val="28"/>
        </w:rPr>
      </w:pPr>
      <w:r>
        <w:rPr>
          <w:b/>
          <w:sz w:val="28"/>
          <w:szCs w:val="28"/>
        </w:rPr>
        <w:t xml:space="preserve">1 </w:t>
      </w:r>
      <w:r>
        <w:rPr>
          <w:sz w:val="28"/>
          <w:szCs w:val="28"/>
        </w:rPr>
        <w:t>-  юголарна ямка</w:t>
      </w:r>
    </w:p>
    <w:p>
      <w:pPr>
        <w:pStyle w:val="Normal"/>
        <w:spacing w:lineRule="auto" w:line="360"/>
        <w:rPr>
          <w:b/>
          <w:sz w:val="28"/>
          <w:szCs w:val="28"/>
        </w:rPr>
      </w:pPr>
      <w:r>
        <w:rPr>
          <w:b/>
          <w:sz w:val="28"/>
          <w:szCs w:val="28"/>
        </w:rPr>
        <w:t>2</w:t>
      </w:r>
      <w:r>
        <w:rPr>
          <w:sz w:val="28"/>
          <w:szCs w:val="28"/>
        </w:rPr>
        <w:t xml:space="preserve"> – средата на разстоянието между двете </w:t>
      </w:r>
      <w:r>
        <w:rPr>
          <w:b/>
          <w:sz w:val="28"/>
          <w:szCs w:val="28"/>
          <w:lang w:val="en-US"/>
        </w:rPr>
        <w:t>spina iliaca anterior superior</w:t>
      </w:r>
      <w:r>
        <w:rPr>
          <w:b/>
          <w:sz w:val="28"/>
          <w:szCs w:val="28"/>
        </w:rPr>
        <w:t xml:space="preserve"> </w:t>
      </w:r>
    </w:p>
    <w:p>
      <w:pPr>
        <w:pStyle w:val="Normal"/>
        <w:spacing w:lineRule="auto" w:line="360"/>
        <w:rPr>
          <w:b/>
          <w:sz w:val="28"/>
          <w:szCs w:val="28"/>
        </w:rPr>
      </w:pPr>
      <w:r>
        <w:rPr>
          <w:b/>
          <w:sz w:val="28"/>
          <w:szCs w:val="28"/>
          <w:lang w:val="en-US"/>
        </w:rPr>
        <w:t xml:space="preserve">h </w:t>
      </w:r>
      <w:r>
        <w:rPr>
          <w:sz w:val="28"/>
          <w:szCs w:val="28"/>
        </w:rPr>
        <w:t>– височина на кифозата.</w:t>
      </w:r>
    </w:p>
    <w:p>
      <w:pPr>
        <w:pStyle w:val="Normal"/>
        <w:spacing w:lineRule="auto" w:line="360"/>
        <w:rPr>
          <w:b/>
          <w:sz w:val="28"/>
          <w:szCs w:val="28"/>
        </w:rPr>
      </w:pPr>
      <w:r>
        <w:rPr>
          <w:sz w:val="28"/>
          <w:szCs w:val="28"/>
          <w:lang w:val="en-US"/>
        </w:rPr>
      </w:r>
    </w:p>
    <w:p>
      <w:pPr>
        <w:pStyle w:val="Normal"/>
        <w:spacing w:lineRule="auto" w:line="360"/>
        <w:rPr>
          <w:b/>
          <w:sz w:val="28"/>
          <w:szCs w:val="28"/>
        </w:rPr>
      </w:pPr>
      <w:r>
        <w:rPr>
          <w:sz w:val="28"/>
          <w:szCs w:val="28"/>
          <w:lang w:val="en-US"/>
        </w:rPr>
      </w:r>
    </w:p>
    <w:p>
      <w:pPr>
        <w:pStyle w:val="PlainText"/>
        <w:numPr>
          <w:ilvl w:val="1"/>
          <w:numId w:val="11"/>
        </w:numPr>
        <w:spacing w:lineRule="auto" w:line="360"/>
        <w:jc w:val="center"/>
        <w:rPr>
          <w:rFonts w:ascii="Times New Roman" w:hAnsi="Times New Roman" w:cs="Times New Roman"/>
          <w:b/>
          <w:sz w:val="28"/>
          <w:szCs w:val="28"/>
          <w:lang w:val="ru-RU"/>
        </w:rPr>
      </w:pPr>
      <w:r>
        <w:rPr>
          <w:rFonts w:cs="Times New Roman" w:ascii="Times New Roman" w:hAnsi="Times New Roman"/>
          <w:b/>
          <w:sz w:val="28"/>
          <w:szCs w:val="28"/>
          <w:lang w:val="ru-RU"/>
        </w:rPr>
        <w:t>Подвижност на гръдния дял на</w:t>
      </w:r>
      <w:r>
        <w:rPr>
          <w:rFonts w:cs="Times New Roman" w:ascii="Times New Roman" w:hAnsi="Times New Roman"/>
          <w:b/>
          <w:sz w:val="28"/>
          <w:szCs w:val="28"/>
          <w:lang w:val="en-US"/>
        </w:rPr>
        <w:t xml:space="preserve"> </w:t>
      </w:r>
      <w:r>
        <w:rPr>
          <w:rFonts w:cs="Times New Roman" w:ascii="Times New Roman" w:hAnsi="Times New Roman"/>
          <w:b/>
          <w:sz w:val="28"/>
          <w:szCs w:val="28"/>
          <w:lang w:val="ru-RU"/>
        </w:rPr>
        <w:t>гръбначния стълб по Отт.</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Този показател измерихме по следния начин:</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От изходно положение стоеж отбелязвахме точка върху гръбначния стълб на 30 см. разстояние от С7 (седми шиен прешлен). Давахме указание за извършване наклон напред и надолу с отпуснати ръце, като контролирахме движението да се извърши само в гръдния дял на гръбначния стълб. Отново измервахме разстоянието между двата белега. Разликата в сантиметри регистрира наличната подвижност в гръдния дял.</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numPr>
          <w:ilvl w:val="1"/>
          <w:numId w:val="11"/>
        </w:numPr>
        <w:spacing w:lineRule="auto" w:line="360"/>
        <w:jc w:val="center"/>
        <w:rPr>
          <w:rFonts w:ascii="Times New Roman" w:hAnsi="Times New Roman" w:cs="Times New Roman"/>
          <w:b/>
          <w:sz w:val="28"/>
          <w:szCs w:val="28"/>
          <w:lang w:val="ru-RU"/>
        </w:rPr>
      </w:pPr>
      <w:r>
        <w:rPr>
          <w:rFonts w:cs="Times New Roman" w:ascii="Times New Roman" w:hAnsi="Times New Roman"/>
          <w:b/>
          <w:sz w:val="28"/>
          <w:szCs w:val="28"/>
          <w:lang w:val="ru-RU"/>
        </w:rPr>
        <w:t>Подвижност на гръден кош по Хирц</w:t>
      </w:r>
    </w:p>
    <w:p>
      <w:pPr>
        <w:pStyle w:val="PlainText"/>
        <w:spacing w:lineRule="auto" w:line="360"/>
        <w:ind w:left="360" w:hanging="0"/>
        <w:jc w:val="both"/>
        <w:rPr>
          <w:rFonts w:ascii="Times New Roman" w:hAnsi="Times New Roman" w:cs="Times New Roman"/>
          <w:b/>
          <w:sz w:val="28"/>
          <w:szCs w:val="28"/>
          <w:lang w:val="ru-RU"/>
        </w:rPr>
      </w:pPr>
      <w:r>
        <w:rPr>
          <w:rFonts w:cs="Times New Roman" w:ascii="Times New Roman" w:hAnsi="Times New Roman"/>
          <w:b/>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Изследването извършихме от стоеж, като търсехме дихателната разлика в сантиметри. За целта на експериментираната методика най-подходящ се оказа показателя Хирц II. Неговата стойност се намира в измерването на дихателната разлика на височина на мамилите. В болшинството от случаите терминалната дъга на кифотичната деформация се проектира на това ниво.</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numPr>
          <w:ilvl w:val="1"/>
          <w:numId w:val="11"/>
        </w:numPr>
        <w:spacing w:lineRule="auto" w:line="360"/>
        <w:jc w:val="center"/>
        <w:rPr>
          <w:rFonts w:ascii="Times New Roman" w:hAnsi="Times New Roman" w:cs="Times New Roman"/>
          <w:b/>
          <w:sz w:val="28"/>
          <w:szCs w:val="28"/>
          <w:lang w:val="ru-RU"/>
        </w:rPr>
      </w:pPr>
      <w:r>
        <w:rPr>
          <w:rFonts w:cs="Times New Roman" w:ascii="Times New Roman" w:hAnsi="Times New Roman"/>
          <w:b/>
          <w:sz w:val="28"/>
          <w:szCs w:val="28"/>
          <w:lang w:val="ru-RU"/>
        </w:rPr>
        <w:t>Силова издържливост на гръбна мускулатура.</w:t>
      </w:r>
    </w:p>
    <w:p>
      <w:pPr>
        <w:pStyle w:val="PlainText"/>
        <w:spacing w:lineRule="auto" w:line="360"/>
        <w:ind w:left="360" w:hanging="0"/>
        <w:jc w:val="both"/>
        <w:rPr>
          <w:rFonts w:ascii="Times New Roman" w:hAnsi="Times New Roman" w:cs="Times New Roman"/>
          <w:b/>
          <w:sz w:val="28"/>
          <w:szCs w:val="28"/>
          <w:lang w:val="ru-RU"/>
        </w:rPr>
      </w:pPr>
      <w:r>
        <w:rPr>
          <w:rFonts w:cs="Times New Roman" w:ascii="Times New Roman" w:hAnsi="Times New Roman"/>
          <w:b/>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Определяше се от времето в секунди за задържане на горната част на трупа от изходно положение лег, с ръце сгънати в лактите и поставени под брадата.</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r>
    </w:p>
    <w:p>
      <w:pPr>
        <w:pStyle w:val="PlainText"/>
        <w:numPr>
          <w:ilvl w:val="1"/>
          <w:numId w:val="11"/>
        </w:numPr>
        <w:spacing w:lineRule="auto" w:line="360"/>
        <w:jc w:val="center"/>
        <w:rPr>
          <w:rFonts w:ascii="Times New Roman" w:hAnsi="Times New Roman" w:cs="Times New Roman"/>
          <w:b/>
          <w:sz w:val="28"/>
          <w:szCs w:val="28"/>
          <w:lang w:val="ru-RU"/>
        </w:rPr>
      </w:pPr>
      <w:r>
        <w:rPr>
          <w:rFonts w:cs="Times New Roman" w:ascii="Times New Roman" w:hAnsi="Times New Roman"/>
          <w:b/>
          <w:sz w:val="28"/>
          <w:szCs w:val="28"/>
          <w:lang w:val="ru-RU"/>
        </w:rPr>
        <w:t>Силова издържливост на коремна мускулатура.</w:t>
      </w:r>
    </w:p>
    <w:p>
      <w:pPr>
        <w:pStyle w:val="PlainText"/>
        <w:spacing w:lineRule="auto" w:line="360"/>
        <w:ind w:left="360" w:hanging="0"/>
        <w:jc w:val="both"/>
        <w:rPr>
          <w:rFonts w:ascii="Times New Roman" w:hAnsi="Times New Roman" w:cs="Times New Roman"/>
          <w:b/>
          <w:sz w:val="28"/>
          <w:szCs w:val="28"/>
          <w:lang w:val="ru-RU"/>
        </w:rPr>
      </w:pPr>
      <w:r>
        <w:rPr>
          <w:rFonts w:cs="Times New Roman" w:ascii="Times New Roman" w:hAnsi="Times New Roman"/>
          <w:b/>
          <w:sz w:val="28"/>
          <w:szCs w:val="28"/>
          <w:lang w:val="en-US"/>
        </w:rPr>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Изследвахме издържливостта, измервана в секунди. Изходно положение тилен лег, краката сгънати и фиксирани. Детето извършва повдигане на туловището от 30 до 40 ° по посока на седеж. Ръцете са сгънати в лактите и поставени зад тила. Измерва се времето за задържане в достигнатата позиция.</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ru-RU"/>
        </w:rPr>
        <w:t>Последните две изследвания са известни в литературата като позиции от теста на Краус-Вебер.</w:t>
      </w:r>
    </w:p>
    <w:p>
      <w:pPr>
        <w:pStyle w:val="PlainText"/>
        <w:spacing w:lineRule="auto" w:line="360"/>
        <w:jc w:val="both"/>
        <w:rPr>
          <w:rFonts w:ascii="Times New Roman" w:hAnsi="Times New Roman" w:cs="Times New Roman"/>
          <w:b/>
          <w:sz w:val="28"/>
          <w:szCs w:val="28"/>
          <w:lang w:val="ru-RU"/>
        </w:rPr>
      </w:pPr>
      <w:r>
        <w:rPr>
          <w:rFonts w:cs="Times New Roman" w:ascii="Times New Roman" w:hAnsi="Times New Roman"/>
          <w:sz w:val="28"/>
          <w:szCs w:val="28"/>
          <w:lang w:val="en-US"/>
        </w:rPr>
      </w:r>
    </w:p>
    <w:p>
      <w:pPr>
        <w:pStyle w:val="Normal"/>
        <w:numPr>
          <w:ilvl w:val="1"/>
          <w:numId w:val="11"/>
        </w:numPr>
        <w:spacing w:lineRule="auto" w:line="360"/>
        <w:jc w:val="center"/>
        <w:rPr>
          <w:b/>
          <w:sz w:val="28"/>
          <w:szCs w:val="28"/>
        </w:rPr>
      </w:pPr>
      <w:r>
        <w:rPr>
          <w:b/>
          <w:sz w:val="28"/>
          <w:szCs w:val="28"/>
        </w:rPr>
        <w:t>Обобщена оценка на скъсената ишиокрурална мускулатура</w:t>
      </w:r>
    </w:p>
    <w:p>
      <w:pPr>
        <w:pStyle w:val="Normal"/>
        <w:spacing w:lineRule="auto" w:line="360"/>
        <w:ind w:left="360" w:hanging="0"/>
        <w:jc w:val="both"/>
        <w:rPr>
          <w:b/>
          <w:sz w:val="28"/>
          <w:szCs w:val="28"/>
        </w:rPr>
      </w:pPr>
      <w:r>
        <w:rPr>
          <w:b/>
          <w:sz w:val="28"/>
          <w:szCs w:val="28"/>
        </w:rPr>
      </w:r>
    </w:p>
    <w:p>
      <w:pPr>
        <w:pStyle w:val="Normal"/>
        <w:numPr>
          <w:ilvl w:val="0"/>
          <w:numId w:val="12"/>
        </w:numPr>
        <w:spacing w:lineRule="auto" w:line="360"/>
        <w:jc w:val="both"/>
        <w:rPr>
          <w:sz w:val="28"/>
          <w:szCs w:val="28"/>
        </w:rPr>
      </w:pPr>
      <w:r>
        <w:rPr>
          <w:sz w:val="28"/>
          <w:szCs w:val="28"/>
        </w:rPr>
        <w:t>Липсващ дисбаланс – 0 точки;</w:t>
      </w:r>
    </w:p>
    <w:p>
      <w:pPr>
        <w:pStyle w:val="Normal"/>
        <w:numPr>
          <w:ilvl w:val="0"/>
          <w:numId w:val="12"/>
        </w:numPr>
        <w:spacing w:lineRule="auto" w:line="360"/>
        <w:jc w:val="both"/>
        <w:rPr>
          <w:sz w:val="28"/>
          <w:szCs w:val="28"/>
        </w:rPr>
      </w:pPr>
      <w:r>
        <w:rPr>
          <w:sz w:val="28"/>
          <w:szCs w:val="28"/>
        </w:rPr>
        <w:t>Умерено изразен дисбаланс – 5 точки;</w:t>
      </w:r>
    </w:p>
    <w:p>
      <w:pPr>
        <w:pStyle w:val="Normal"/>
        <w:spacing w:lineRule="auto" w:line="360"/>
        <w:jc w:val="both"/>
        <w:rPr>
          <w:sz w:val="28"/>
          <w:szCs w:val="28"/>
        </w:rPr>
      </w:pPr>
      <w:r>
        <w:rPr>
          <w:sz w:val="28"/>
          <w:szCs w:val="28"/>
        </w:rPr>
        <w:t>Псевдо Ласег – флексия в тазобедрена става до 60˚; белег на триножника се позитивира при 15˚ флексия в колянна става; на лице е отстояние пръсти – под до 10см.</w:t>
      </w:r>
    </w:p>
    <w:p>
      <w:pPr>
        <w:pStyle w:val="Normal"/>
        <w:numPr>
          <w:ilvl w:val="0"/>
          <w:numId w:val="4"/>
        </w:numPr>
        <w:spacing w:lineRule="auto" w:line="360"/>
        <w:jc w:val="both"/>
        <w:rPr>
          <w:sz w:val="28"/>
          <w:szCs w:val="28"/>
        </w:rPr>
      </w:pPr>
      <w:r>
        <w:rPr>
          <w:sz w:val="28"/>
          <w:szCs w:val="28"/>
        </w:rPr>
        <w:t>Силно изразен дисбаланс – 10 точки.</w:t>
      </w:r>
    </w:p>
    <w:p>
      <w:pPr>
        <w:pStyle w:val="Normal"/>
        <w:spacing w:lineRule="auto" w:line="360"/>
        <w:jc w:val="both"/>
        <w:rPr>
          <w:sz w:val="28"/>
          <w:szCs w:val="28"/>
        </w:rPr>
      </w:pPr>
      <w:r>
        <w:rPr>
          <w:sz w:val="28"/>
          <w:szCs w:val="28"/>
        </w:rPr>
        <w:t>Псевдо Ласег – 45˚ флексия в тазобедрена става; белег на триножника се позитивира при 25˚ флексия в колянна става; отстояние пръст – под 20см.</w:t>
      </w:r>
    </w:p>
    <w:p>
      <w:pPr>
        <w:pStyle w:val="Normal"/>
        <w:spacing w:lineRule="auto" w:line="360"/>
        <w:ind w:firstLine="708"/>
        <w:jc w:val="both"/>
        <w:rPr>
          <w:sz w:val="28"/>
          <w:szCs w:val="28"/>
        </w:rPr>
      </w:pPr>
      <w:r>
        <w:rPr>
          <w:b/>
          <w:sz w:val="32"/>
          <w:szCs w:val="32"/>
        </w:rPr>
      </w:r>
    </w:p>
    <w:p>
      <w:pPr>
        <w:pStyle w:val="PlainText"/>
        <w:spacing w:lineRule="auto" w:line="360"/>
        <w:ind w:left="360" w:hanging="0"/>
        <w:jc w:val="both"/>
        <w:rPr>
          <w:sz w:val="28"/>
          <w:szCs w:val="28"/>
        </w:rPr>
      </w:pPr>
      <w:r>
        <w:rPr>
          <w:rFonts w:cs="Times New Roman" w:ascii="Times New Roman" w:hAnsi="Times New Roman"/>
          <w:b/>
          <w:sz w:val="28"/>
          <w:szCs w:val="28"/>
        </w:rPr>
      </w:r>
    </w:p>
    <w:p>
      <w:pPr>
        <w:pStyle w:val="PlainText"/>
        <w:spacing w:lineRule="auto" w:line="360"/>
        <w:ind w:left="360" w:hanging="0"/>
        <w:jc w:val="both"/>
        <w:rPr>
          <w:sz w:val="28"/>
          <w:szCs w:val="28"/>
        </w:rPr>
      </w:pPr>
      <w:r>
        <w:rPr>
          <w:rFonts w:cs="Times New Roman" w:ascii="Times New Roman" w:hAnsi="Times New Roman"/>
          <w:sz w:val="28"/>
          <w:szCs w:val="28"/>
        </w:rPr>
      </w:r>
    </w:p>
    <w:p>
      <w:pPr>
        <w:pStyle w:val="PlainText"/>
        <w:spacing w:lineRule="auto" w:line="360"/>
        <w:ind w:left="360" w:hanging="0"/>
        <w:jc w:val="both"/>
        <w:rPr>
          <w:sz w:val="28"/>
          <w:szCs w:val="28"/>
        </w:rPr>
      </w:pPr>
      <w:r>
        <w:rPr>
          <w:rFonts w:cs="Times New Roman" w:ascii="Times New Roman" w:hAnsi="Times New Roman"/>
          <w:sz w:val="28"/>
          <w:szCs w:val="28"/>
        </w:rPr>
      </w:r>
    </w:p>
    <w:p>
      <w:pPr>
        <w:pStyle w:val="PlainText"/>
        <w:spacing w:lineRule="auto" w:line="360"/>
        <w:ind w:left="360" w:hanging="0"/>
        <w:jc w:val="both"/>
        <w:rPr>
          <w:sz w:val="28"/>
          <w:szCs w:val="28"/>
        </w:rPr>
      </w:pPr>
      <w:r>
        <w:rPr>
          <w:rFonts w:cs="Times New Roman" w:ascii="Times New Roman" w:hAnsi="Times New Roman"/>
          <w:sz w:val="28"/>
          <w:szCs w:val="28"/>
        </w:rPr>
      </w:r>
    </w:p>
    <w:p>
      <w:pPr>
        <w:pStyle w:val="PlainText"/>
        <w:spacing w:lineRule="auto" w:line="360"/>
        <w:ind w:left="360" w:hanging="0"/>
        <w:jc w:val="both"/>
        <w:rPr>
          <w:sz w:val="28"/>
          <w:szCs w:val="28"/>
        </w:rPr>
      </w:pPr>
      <w:r>
        <w:rPr>
          <w:rFonts w:cs="Times New Roman" w:ascii="Times New Roman" w:hAnsi="Times New Roman"/>
          <w:sz w:val="28"/>
          <w:szCs w:val="28"/>
        </w:rPr>
      </w:r>
    </w:p>
    <w:p>
      <w:pPr>
        <w:pStyle w:val="PlainText"/>
        <w:spacing w:lineRule="auto" w:line="360"/>
        <w:ind w:left="360" w:hanging="0"/>
        <w:jc w:val="both"/>
        <w:rPr>
          <w:sz w:val="28"/>
          <w:szCs w:val="28"/>
        </w:rPr>
      </w:pPr>
      <w:r>
        <w:rPr>
          <w:rFonts w:cs="Times New Roman" w:ascii="Times New Roman" w:hAnsi="Times New Roman"/>
          <w:sz w:val="28"/>
          <w:szCs w:val="28"/>
        </w:rPr>
      </w:r>
    </w:p>
    <w:p>
      <w:pPr>
        <w:pStyle w:val="PlainText"/>
        <w:spacing w:lineRule="auto" w:line="360"/>
        <w:ind w:left="360" w:hanging="0"/>
        <w:jc w:val="both"/>
        <w:rPr>
          <w:sz w:val="28"/>
          <w:szCs w:val="28"/>
        </w:rPr>
      </w:pPr>
      <w:r>
        <w:rPr>
          <w:rFonts w:cs="Times New Roman" w:ascii="Times New Roman" w:hAnsi="Times New Roman"/>
          <w:sz w:val="28"/>
          <w:szCs w:val="28"/>
        </w:rPr>
      </w:r>
    </w:p>
    <w:p>
      <w:pPr>
        <w:pStyle w:val="PlainText"/>
        <w:spacing w:lineRule="auto" w:line="360"/>
        <w:ind w:left="360" w:hanging="0"/>
        <w:jc w:val="both"/>
        <w:rPr>
          <w:sz w:val="28"/>
          <w:szCs w:val="28"/>
        </w:rPr>
      </w:pPr>
      <w:r>
        <w:rPr>
          <w:rFonts w:cs="Times New Roman" w:ascii="Times New Roman" w:hAnsi="Times New Roman"/>
          <w:sz w:val="28"/>
          <w:szCs w:val="28"/>
        </w:rPr>
      </w:r>
    </w:p>
    <w:p>
      <w:pPr>
        <w:pStyle w:val="Normal"/>
        <w:spacing w:lineRule="auto" w:line="360"/>
        <w:jc w:val="center"/>
        <w:rPr>
          <w:sz w:val="28"/>
          <w:szCs w:val="28"/>
        </w:rPr>
      </w:pPr>
      <w:r>
        <w:rPr>
          <w:b/>
          <w:sz w:val="28"/>
          <w:szCs w:val="28"/>
          <w:lang w:val="ru-RU"/>
        </w:rPr>
        <w:t>4. МЕТОДИКА НА ПРИЛАГАНАТА КИНЕЗИТЕРАПИЯ</w:t>
      </w:r>
    </w:p>
    <w:p>
      <w:pPr>
        <w:pStyle w:val="Normal"/>
        <w:spacing w:lineRule="auto" w:line="360"/>
        <w:rPr>
          <w:sz w:val="28"/>
          <w:szCs w:val="28"/>
        </w:rPr>
      </w:pPr>
      <w:r>
        <w:rPr>
          <w:b/>
          <w:sz w:val="28"/>
          <w:szCs w:val="28"/>
        </w:rPr>
      </w:r>
    </w:p>
    <w:p>
      <w:pPr>
        <w:pStyle w:val="Normal"/>
        <w:spacing w:lineRule="auto" w:line="360"/>
        <w:rPr>
          <w:sz w:val="28"/>
          <w:szCs w:val="28"/>
        </w:rPr>
      </w:pPr>
      <w:r>
        <w:rPr>
          <w:b/>
          <w:sz w:val="28"/>
          <w:szCs w:val="28"/>
        </w:rPr>
      </w:r>
    </w:p>
    <w:p>
      <w:pPr>
        <w:pStyle w:val="Normal"/>
        <w:spacing w:lineRule="auto" w:line="360"/>
        <w:jc w:val="center"/>
        <w:rPr>
          <w:sz w:val="28"/>
          <w:szCs w:val="28"/>
        </w:rPr>
      </w:pPr>
      <w:r>
        <w:rPr>
          <w:b/>
          <w:sz w:val="28"/>
          <w:szCs w:val="28"/>
        </w:rPr>
        <w:t>4.1 Цел на кинезитерапията:</w:t>
      </w:r>
    </w:p>
    <w:p>
      <w:pPr>
        <w:pStyle w:val="Normal"/>
        <w:spacing w:lineRule="auto" w:line="360"/>
        <w:rPr>
          <w:sz w:val="28"/>
          <w:szCs w:val="28"/>
        </w:rPr>
      </w:pPr>
      <w:r>
        <w:rPr>
          <w:sz w:val="28"/>
          <w:szCs w:val="28"/>
        </w:rPr>
        <w:t>Максимално подобряване на функционалното състояние, на гръбначния стълб и правилното телодържане.</w:t>
      </w:r>
    </w:p>
    <w:p>
      <w:pPr>
        <w:pStyle w:val="Normal"/>
        <w:spacing w:lineRule="auto" w:line="360"/>
        <w:rPr>
          <w:sz w:val="28"/>
          <w:szCs w:val="28"/>
        </w:rPr>
      </w:pPr>
      <w:r>
        <w:rPr>
          <w:sz w:val="28"/>
          <w:szCs w:val="28"/>
        </w:rPr>
      </w:r>
    </w:p>
    <w:p>
      <w:pPr>
        <w:pStyle w:val="Normal"/>
        <w:spacing w:lineRule="auto" w:line="360"/>
        <w:jc w:val="center"/>
        <w:rPr>
          <w:sz w:val="28"/>
          <w:szCs w:val="28"/>
        </w:rPr>
      </w:pPr>
      <w:r>
        <w:rPr>
          <w:b/>
          <w:sz w:val="28"/>
          <w:szCs w:val="28"/>
        </w:rPr>
        <w:t>4.2 Задачи на кинезитерапията:</w:t>
      </w:r>
    </w:p>
    <w:p>
      <w:pPr>
        <w:pStyle w:val="Normal"/>
        <w:numPr>
          <w:ilvl w:val="0"/>
          <w:numId w:val="4"/>
        </w:numPr>
        <w:spacing w:lineRule="auto" w:line="360"/>
        <w:rPr>
          <w:sz w:val="28"/>
          <w:szCs w:val="28"/>
        </w:rPr>
      </w:pPr>
      <w:r>
        <w:rPr>
          <w:sz w:val="28"/>
          <w:szCs w:val="28"/>
        </w:rPr>
        <w:t>повлияване на мускулния дисбаланс;</w:t>
      </w:r>
    </w:p>
    <w:p>
      <w:pPr>
        <w:pStyle w:val="Normal"/>
        <w:numPr>
          <w:ilvl w:val="0"/>
          <w:numId w:val="4"/>
        </w:numPr>
        <w:spacing w:lineRule="auto" w:line="360"/>
        <w:rPr>
          <w:sz w:val="28"/>
          <w:szCs w:val="28"/>
        </w:rPr>
      </w:pPr>
      <w:r>
        <w:rPr>
          <w:sz w:val="28"/>
          <w:szCs w:val="28"/>
        </w:rPr>
        <w:t>подобряване силата на инсуфициентните мускулни групи;</w:t>
      </w:r>
    </w:p>
    <w:p>
      <w:pPr>
        <w:pStyle w:val="Normal"/>
        <w:numPr>
          <w:ilvl w:val="0"/>
          <w:numId w:val="4"/>
        </w:numPr>
        <w:spacing w:lineRule="auto" w:line="360"/>
        <w:rPr>
          <w:sz w:val="28"/>
          <w:szCs w:val="28"/>
        </w:rPr>
      </w:pPr>
      <w:r>
        <w:rPr>
          <w:sz w:val="28"/>
          <w:szCs w:val="28"/>
        </w:rPr>
        <w:t>преодоляване контрактурата на ишиокруралната мускулатура;</w:t>
      </w:r>
    </w:p>
    <w:p>
      <w:pPr>
        <w:pStyle w:val="Normal"/>
        <w:numPr>
          <w:ilvl w:val="0"/>
          <w:numId w:val="4"/>
        </w:numPr>
        <w:spacing w:lineRule="auto" w:line="360"/>
        <w:rPr>
          <w:sz w:val="28"/>
          <w:szCs w:val="28"/>
        </w:rPr>
      </w:pPr>
      <w:r>
        <w:rPr>
          <w:sz w:val="28"/>
          <w:szCs w:val="28"/>
        </w:rPr>
        <w:t>изработване на вярни кинестетични възприятия за правилна поза и походка;</w:t>
      </w:r>
    </w:p>
    <w:p>
      <w:pPr>
        <w:pStyle w:val="Normal"/>
        <w:numPr>
          <w:ilvl w:val="0"/>
          <w:numId w:val="4"/>
        </w:numPr>
        <w:spacing w:lineRule="auto" w:line="360"/>
        <w:rPr>
          <w:sz w:val="28"/>
          <w:szCs w:val="28"/>
        </w:rPr>
      </w:pPr>
      <w:r>
        <w:rPr>
          <w:sz w:val="28"/>
          <w:szCs w:val="28"/>
        </w:rPr>
        <w:t>увеличаване силата на коремна, гръбна, глутеална и бедрена мускулатура;</w:t>
      </w:r>
    </w:p>
    <w:p>
      <w:pPr>
        <w:pStyle w:val="Normal"/>
        <w:numPr>
          <w:ilvl w:val="0"/>
          <w:numId w:val="4"/>
        </w:numPr>
        <w:spacing w:lineRule="auto" w:line="360"/>
        <w:rPr>
          <w:sz w:val="28"/>
          <w:szCs w:val="28"/>
        </w:rPr>
      </w:pPr>
      <w:r>
        <w:rPr>
          <w:sz w:val="28"/>
          <w:szCs w:val="28"/>
        </w:rPr>
        <w:t>активизиране на двигателния режим за подобряване на общото състояние;</w:t>
      </w:r>
    </w:p>
    <w:p>
      <w:pPr>
        <w:pStyle w:val="Normal"/>
        <w:numPr>
          <w:ilvl w:val="0"/>
          <w:numId w:val="4"/>
        </w:numPr>
        <w:spacing w:lineRule="auto" w:line="360"/>
        <w:rPr>
          <w:sz w:val="28"/>
          <w:szCs w:val="28"/>
        </w:rPr>
      </w:pPr>
      <w:r>
        <w:rPr>
          <w:sz w:val="28"/>
          <w:szCs w:val="28"/>
        </w:rPr>
        <w:t>подобряване на психоемоционалния тонус.</w:t>
      </w:r>
    </w:p>
    <w:p>
      <w:pPr>
        <w:pStyle w:val="Normal"/>
        <w:spacing w:lineRule="auto" w:line="360"/>
        <w:ind w:left="1068" w:hanging="0"/>
        <w:rPr>
          <w:sz w:val="28"/>
          <w:szCs w:val="28"/>
        </w:rPr>
      </w:pPr>
      <w:r>
        <w:rPr>
          <w:sz w:val="28"/>
          <w:szCs w:val="28"/>
        </w:rPr>
      </w:r>
    </w:p>
    <w:p>
      <w:pPr>
        <w:pStyle w:val="Normal"/>
        <w:spacing w:lineRule="auto" w:line="360"/>
        <w:jc w:val="center"/>
        <w:rPr>
          <w:sz w:val="28"/>
          <w:szCs w:val="28"/>
        </w:rPr>
      </w:pPr>
      <w:r>
        <w:rPr>
          <w:b/>
          <w:sz w:val="28"/>
          <w:szCs w:val="28"/>
        </w:rPr>
        <w:t>4.3 Средства на кинезитерапията:</w:t>
      </w:r>
    </w:p>
    <w:p>
      <w:pPr>
        <w:pStyle w:val="Normal"/>
        <w:numPr>
          <w:ilvl w:val="0"/>
          <w:numId w:val="4"/>
        </w:numPr>
        <w:spacing w:lineRule="auto" w:line="360"/>
        <w:rPr>
          <w:sz w:val="28"/>
          <w:szCs w:val="28"/>
        </w:rPr>
      </w:pPr>
      <w:r>
        <w:rPr>
          <w:sz w:val="28"/>
          <w:szCs w:val="28"/>
        </w:rPr>
        <w:t>активни упражнения от различни изходни положения;</w:t>
      </w:r>
    </w:p>
    <w:p>
      <w:pPr>
        <w:pStyle w:val="Normal"/>
        <w:numPr>
          <w:ilvl w:val="0"/>
          <w:numId w:val="4"/>
        </w:numPr>
        <w:spacing w:lineRule="auto" w:line="360"/>
        <w:rPr>
          <w:sz w:val="28"/>
          <w:szCs w:val="28"/>
        </w:rPr>
      </w:pPr>
      <w:r>
        <w:rPr>
          <w:sz w:val="28"/>
          <w:szCs w:val="28"/>
        </w:rPr>
        <w:t>ПИР за скъсени мускули;</w:t>
      </w:r>
    </w:p>
    <w:p>
      <w:pPr>
        <w:pStyle w:val="Normal"/>
        <w:numPr>
          <w:ilvl w:val="0"/>
          <w:numId w:val="4"/>
        </w:numPr>
        <w:spacing w:lineRule="auto" w:line="360"/>
        <w:rPr>
          <w:sz w:val="28"/>
          <w:szCs w:val="28"/>
        </w:rPr>
      </w:pPr>
      <w:r>
        <w:rPr>
          <w:sz w:val="28"/>
          <w:szCs w:val="28"/>
        </w:rPr>
        <w:t>упражнения на и с уреди;</w:t>
      </w:r>
    </w:p>
    <w:p>
      <w:pPr>
        <w:pStyle w:val="Normal"/>
        <w:numPr>
          <w:ilvl w:val="0"/>
          <w:numId w:val="4"/>
        </w:numPr>
        <w:spacing w:lineRule="auto" w:line="360"/>
        <w:rPr>
          <w:sz w:val="28"/>
          <w:szCs w:val="28"/>
        </w:rPr>
      </w:pPr>
      <w:r>
        <w:rPr>
          <w:sz w:val="28"/>
          <w:szCs w:val="28"/>
        </w:rPr>
        <w:t>дихателни упражнения;</w:t>
      </w:r>
    </w:p>
    <w:p>
      <w:pPr>
        <w:pStyle w:val="Normal"/>
        <w:numPr>
          <w:ilvl w:val="0"/>
          <w:numId w:val="4"/>
        </w:numPr>
        <w:spacing w:lineRule="auto" w:line="360"/>
        <w:rPr>
          <w:sz w:val="28"/>
          <w:szCs w:val="28"/>
        </w:rPr>
      </w:pPr>
      <w:r>
        <w:rPr>
          <w:sz w:val="28"/>
          <w:szCs w:val="28"/>
        </w:rPr>
        <w:t>стречинг ;</w:t>
      </w:r>
    </w:p>
    <w:p>
      <w:pPr>
        <w:pStyle w:val="Normal"/>
        <w:numPr>
          <w:ilvl w:val="0"/>
          <w:numId w:val="4"/>
        </w:numPr>
        <w:spacing w:lineRule="auto" w:line="360"/>
        <w:rPr>
          <w:sz w:val="28"/>
          <w:szCs w:val="28"/>
        </w:rPr>
      </w:pPr>
      <w:r>
        <w:rPr>
          <w:sz w:val="28"/>
          <w:szCs w:val="28"/>
        </w:rPr>
        <w:t>изометрични упражнения;</w:t>
      </w:r>
    </w:p>
    <w:p>
      <w:pPr>
        <w:pStyle w:val="Normal"/>
        <w:numPr>
          <w:ilvl w:val="0"/>
          <w:numId w:val="4"/>
        </w:numPr>
        <w:spacing w:lineRule="auto" w:line="360"/>
        <w:rPr>
          <w:sz w:val="28"/>
          <w:szCs w:val="28"/>
        </w:rPr>
      </w:pPr>
      <w:r>
        <w:rPr>
          <w:sz w:val="28"/>
          <w:szCs w:val="28"/>
        </w:rPr>
        <w:t>релаксиращи упражнения.</w:t>
      </w:r>
    </w:p>
    <w:p>
      <w:pPr>
        <w:pStyle w:val="Normal"/>
        <w:spacing w:lineRule="auto" w:line="360"/>
        <w:rPr>
          <w:sz w:val="28"/>
          <w:szCs w:val="28"/>
        </w:rPr>
      </w:pPr>
      <w:r>
        <w:rPr>
          <w:sz w:val="28"/>
          <w:szCs w:val="28"/>
        </w:rPr>
      </w:r>
    </w:p>
    <w:p>
      <w:pPr>
        <w:pStyle w:val="Normal"/>
        <w:spacing w:lineRule="auto" w:line="360"/>
        <w:ind w:firstLine="708"/>
        <w:jc w:val="both"/>
        <w:rPr>
          <w:sz w:val="28"/>
          <w:szCs w:val="28"/>
        </w:rPr>
      </w:pPr>
      <w:r>
        <w:rPr>
          <w:sz w:val="28"/>
          <w:szCs w:val="28"/>
        </w:rPr>
        <w:t xml:space="preserve">Експериментираната методика прилагахме в продължение на 8 месеца при три пъти седмично амбулаторни процедури с времетраене 50 – 60 минути, а в останалите дни в домашни условия по индивидуално изготвена двигателна програма. </w:t>
      </w:r>
    </w:p>
    <w:p>
      <w:pPr>
        <w:pStyle w:val="Normal"/>
        <w:spacing w:lineRule="auto" w:line="360"/>
        <w:ind w:firstLine="708"/>
        <w:rPr>
          <w:sz w:val="28"/>
          <w:szCs w:val="28"/>
        </w:rPr>
      </w:pPr>
      <w:r>
        <w:rPr>
          <w:sz w:val="28"/>
          <w:szCs w:val="28"/>
        </w:rPr>
        <w:t xml:space="preserve">Кинезитерапията бе разделена на следните периоди: </w:t>
      </w:r>
    </w:p>
    <w:p>
      <w:pPr>
        <w:pStyle w:val="Normal"/>
        <w:numPr>
          <w:ilvl w:val="0"/>
          <w:numId w:val="8"/>
        </w:numPr>
        <w:spacing w:lineRule="auto" w:line="360"/>
        <w:rPr>
          <w:sz w:val="28"/>
          <w:szCs w:val="28"/>
        </w:rPr>
      </w:pPr>
      <w:r>
        <w:rPr>
          <w:sz w:val="28"/>
          <w:szCs w:val="28"/>
        </w:rPr>
        <w:t>Подготвителен – с времетраене 2 месеца;</w:t>
      </w:r>
    </w:p>
    <w:p>
      <w:pPr>
        <w:pStyle w:val="Normal"/>
        <w:numPr>
          <w:ilvl w:val="0"/>
          <w:numId w:val="8"/>
        </w:numPr>
        <w:spacing w:lineRule="auto" w:line="360"/>
        <w:rPr>
          <w:sz w:val="28"/>
          <w:szCs w:val="28"/>
        </w:rPr>
      </w:pPr>
      <w:r>
        <w:rPr>
          <w:sz w:val="28"/>
          <w:szCs w:val="28"/>
        </w:rPr>
        <w:t>Основен – с продължителност 5 месеца;</w:t>
      </w:r>
    </w:p>
    <w:p>
      <w:pPr>
        <w:pStyle w:val="Normal"/>
        <w:numPr>
          <w:ilvl w:val="0"/>
          <w:numId w:val="8"/>
        </w:numPr>
        <w:spacing w:lineRule="auto" w:line="360"/>
        <w:rPr>
          <w:sz w:val="28"/>
          <w:szCs w:val="28"/>
        </w:rPr>
      </w:pPr>
      <w:r>
        <w:rPr>
          <w:sz w:val="28"/>
          <w:szCs w:val="28"/>
        </w:rPr>
        <w:t>Тренировъчен – с неограничена продължителност.</w:t>
      </w:r>
    </w:p>
    <w:p>
      <w:pPr>
        <w:pStyle w:val="Normal"/>
        <w:spacing w:lineRule="auto" w:line="360"/>
        <w:rPr>
          <w:sz w:val="28"/>
          <w:szCs w:val="28"/>
        </w:rPr>
      </w:pPr>
      <w:r>
        <w:rPr>
          <w:sz w:val="28"/>
          <w:szCs w:val="28"/>
        </w:rPr>
      </w:r>
    </w:p>
    <w:p>
      <w:pPr>
        <w:pStyle w:val="Normal"/>
        <w:spacing w:lineRule="auto" w:line="360"/>
        <w:ind w:firstLine="720"/>
        <w:jc w:val="both"/>
        <w:rPr>
          <w:sz w:val="28"/>
          <w:szCs w:val="28"/>
        </w:rPr>
      </w:pPr>
      <w:r>
        <w:rPr>
          <w:sz w:val="28"/>
          <w:szCs w:val="28"/>
        </w:rPr>
        <w:t>В подготвителния период кинезитерапевтичната програма включваше активни упражнения от различни изходни положения: седеж, страничен лег, коленен седеж с фиксиран таз; ПИР за скъсени мускули; стречинг за ишиокрурална мускулатура и дихателни упражнения. Наблегнахме на упражнения за огъвкавяване на гръбначня стълб също от различни изходни положения.</w:t>
      </w:r>
    </w:p>
    <w:p>
      <w:pPr>
        <w:pStyle w:val="Normal"/>
        <w:spacing w:lineRule="auto" w:line="360"/>
        <w:ind w:firstLine="720"/>
        <w:jc w:val="both"/>
        <w:rPr>
          <w:sz w:val="28"/>
          <w:szCs w:val="28"/>
        </w:rPr>
      </w:pPr>
      <w:r>
        <w:rPr>
          <w:sz w:val="28"/>
          <w:szCs w:val="28"/>
        </w:rPr>
        <w:t>В основния период се реализира еднаква по обем работа за компенсиране на мускулния дисбаланс и кинетично захранване на постигнатата гъвкавост. За решаване на основните терапевтични задачи приложихме изометрична мускулна тренировка на паравертебрална и коремна мускулатура, както на глутеална и бедрена мускулатура. Физическите натоварвания бяха със субмаксимална амплитуда мотивирани от степента на физическо развитие и дееспособност, функционалния капацитет на опорно-двигателния апарат и степента на патологична деформация.</w:t>
      </w:r>
    </w:p>
    <w:p>
      <w:pPr>
        <w:pStyle w:val="Normal"/>
        <w:spacing w:lineRule="auto" w:line="360"/>
        <w:ind w:firstLine="720"/>
        <w:jc w:val="both"/>
        <w:rPr>
          <w:sz w:val="28"/>
          <w:szCs w:val="28"/>
        </w:rPr>
      </w:pPr>
      <w:r>
        <w:rPr>
          <w:sz w:val="28"/>
          <w:szCs w:val="28"/>
        </w:rPr>
        <w:t xml:space="preserve">В тренировъчния период се затвърдяваха постигнатите позитивни резултати и се усъвършенстваше функцията на дихателния апарат и вярните кинестатични представи за правилно телодържание и походка. </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ind w:firstLine="720"/>
        <w:jc w:val="center"/>
        <w:rPr>
          <w:sz w:val="28"/>
          <w:szCs w:val="28"/>
        </w:rPr>
      </w:pPr>
      <w:r>
        <w:rPr>
          <w:b/>
          <w:sz w:val="28"/>
          <w:szCs w:val="28"/>
        </w:rPr>
        <w:t xml:space="preserve">5. </w:t>
      </w:r>
      <w:r>
        <w:rPr>
          <w:b/>
          <w:sz w:val="32"/>
          <w:szCs w:val="32"/>
        </w:rPr>
        <w:t>СХЕМА И КОМПЛЕКС ПО КИНЕЗИТЕРАПИЯ</w:t>
      </w:r>
    </w:p>
    <w:p>
      <w:pPr>
        <w:pStyle w:val="Normal"/>
        <w:spacing w:lineRule="auto" w:line="360"/>
        <w:jc w:val="center"/>
        <w:rPr>
          <w:sz w:val="28"/>
          <w:szCs w:val="28"/>
        </w:rPr>
      </w:pPr>
      <w:r>
        <w:rPr>
          <w:b/>
          <w:sz w:val="32"/>
          <w:szCs w:val="32"/>
        </w:rPr>
        <w:t>5.1 Схема</w:t>
      </w:r>
    </w:p>
    <w:tbl>
      <w:tblPr>
        <w:tblW w:w="9269" w:type="dxa"/>
        <w:jc w:val="left"/>
        <w:tblInd w:w="0" w:type="dxa"/>
        <w:tblLayout w:type="fixed"/>
        <w:tblCellMar>
          <w:top w:w="0" w:type="dxa"/>
          <w:left w:w="108" w:type="dxa"/>
          <w:bottom w:w="0" w:type="dxa"/>
          <w:right w:w="108" w:type="dxa"/>
        </w:tblCellMar>
      </w:tblPr>
      <w:tblGrid>
        <w:gridCol w:w="1842"/>
        <w:gridCol w:w="1842"/>
        <w:gridCol w:w="1842"/>
        <w:gridCol w:w="1843"/>
        <w:gridCol w:w="1900"/>
      </w:tblGrid>
      <w:tr>
        <w:trPr/>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20"/>
                <w:szCs w:val="20"/>
              </w:rPr>
            </w:pPr>
            <w:r>
              <w:rPr>
                <w:b/>
                <w:sz w:val="20"/>
                <w:szCs w:val="20"/>
              </w:rPr>
              <w:t>Части на процедурата</w:t>
            </w:r>
          </w:p>
        </w:tc>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20"/>
                <w:szCs w:val="20"/>
              </w:rPr>
            </w:pPr>
            <w:r>
              <w:rPr>
                <w:b/>
                <w:sz w:val="20"/>
                <w:szCs w:val="20"/>
              </w:rPr>
              <w:t>Съдържание</w:t>
            </w:r>
          </w:p>
        </w:tc>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20"/>
                <w:szCs w:val="20"/>
              </w:rPr>
            </w:pPr>
            <w:r>
              <w:rPr>
                <w:b/>
                <w:sz w:val="20"/>
                <w:szCs w:val="20"/>
              </w:rPr>
              <w:t>Дозировка</w:t>
            </w:r>
          </w:p>
        </w:tc>
        <w:tc>
          <w:tcPr>
            <w:tcW w:w="184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20"/>
                <w:szCs w:val="20"/>
              </w:rPr>
            </w:pPr>
            <w:r>
              <w:rPr>
                <w:b/>
                <w:sz w:val="20"/>
                <w:szCs w:val="20"/>
              </w:rPr>
              <w:t>Методически указания</w:t>
            </w:r>
          </w:p>
        </w:tc>
        <w:tc>
          <w:tcPr>
            <w:tcW w:w="19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20"/>
                <w:szCs w:val="20"/>
              </w:rPr>
            </w:pPr>
            <w:r>
              <w:rPr>
                <w:b/>
                <w:sz w:val="20"/>
                <w:szCs w:val="20"/>
              </w:rPr>
              <w:t>Задачи</w:t>
            </w:r>
          </w:p>
        </w:tc>
      </w:tr>
      <w:tr>
        <w:trPr/>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20"/>
                <w:szCs w:val="20"/>
              </w:rPr>
            </w:pPr>
            <w:r>
              <w:rPr>
                <w:b/>
                <w:sz w:val="20"/>
                <w:szCs w:val="20"/>
              </w:rPr>
              <w:t>Подготвителна част</w:t>
            </w:r>
          </w:p>
        </w:tc>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Упражнения за всички части на тялото; дихателни упражнения; упражнения за релаксация</w:t>
            </w:r>
          </w:p>
        </w:tc>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20"/>
                <w:szCs w:val="20"/>
              </w:rPr>
            </w:pPr>
            <w:r>
              <w:rPr>
                <w:b/>
                <w:sz w:val="20"/>
                <w:szCs w:val="20"/>
              </w:rPr>
              <w:t>6 – 8 мин</w:t>
            </w:r>
          </w:p>
        </w:tc>
        <w:tc>
          <w:tcPr>
            <w:tcW w:w="184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Упражненията да се изпълняват от И.П. разтоварен и екстензиран гръбначен стълб</w:t>
            </w:r>
          </w:p>
        </w:tc>
        <w:tc>
          <w:tcPr>
            <w:tcW w:w="19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Общо въздействие върху организма</w:t>
            </w:r>
          </w:p>
        </w:tc>
      </w:tr>
      <w:tr>
        <w:trPr/>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20"/>
                <w:szCs w:val="20"/>
              </w:rPr>
            </w:pPr>
            <w:r>
              <w:rPr>
                <w:b/>
                <w:sz w:val="20"/>
                <w:szCs w:val="20"/>
              </w:rPr>
              <w:t>Основна част</w:t>
            </w:r>
          </w:p>
        </w:tc>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Упражнения за гръбначния стълб и съседните стави; упражнения на гимнастическо столче и маса;изометрични упражнения; ПИР за ишиокрурална мускулатура; стречинг; дихателни упражнения; упражнения за релаксация и авторелаксация.</w:t>
            </w:r>
          </w:p>
        </w:tc>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20"/>
                <w:szCs w:val="20"/>
              </w:rPr>
            </w:pPr>
            <w:r>
              <w:rPr>
                <w:b/>
                <w:sz w:val="20"/>
                <w:szCs w:val="20"/>
              </w:rPr>
              <w:t>35-40 мин</w:t>
            </w:r>
          </w:p>
        </w:tc>
        <w:tc>
          <w:tcPr>
            <w:tcW w:w="184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Упражненията се прилагат предимно от свит тилен лег, лег, страничен лег, седж и коленен седеж. Упражненията се изпълняват с максимална амплитуда и да се съчетават с дишането.</w:t>
            </w:r>
          </w:p>
        </w:tc>
        <w:tc>
          <w:tcPr>
            <w:tcW w:w="19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Подобряване на кръвообръщението, трофиката и подвижността на гръбначния стълб в торакалния дял. Засилване на гръбната и коремната мускулатура, а също и на дихателния капацитет.</w:t>
            </w:r>
          </w:p>
        </w:tc>
      </w:tr>
      <w:tr>
        <w:trPr/>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20"/>
                <w:szCs w:val="20"/>
              </w:rPr>
            </w:pPr>
            <w:r>
              <w:rPr>
                <w:b/>
                <w:sz w:val="20"/>
                <w:szCs w:val="20"/>
              </w:rPr>
              <w:t>Заключителна част</w:t>
            </w:r>
          </w:p>
        </w:tc>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Упражнения за релаксация.</w:t>
            </w:r>
          </w:p>
        </w:tc>
        <w:tc>
          <w:tcPr>
            <w:tcW w:w="184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b/>
                <w:sz w:val="20"/>
                <w:szCs w:val="20"/>
              </w:rPr>
            </w:pPr>
            <w:r>
              <w:rPr>
                <w:b/>
                <w:sz w:val="20"/>
                <w:szCs w:val="20"/>
              </w:rPr>
              <w:t>5-8 мин</w:t>
            </w:r>
          </w:p>
        </w:tc>
        <w:tc>
          <w:tcPr>
            <w:tcW w:w="1843"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Изпълняват се в бавен темп. Дават се указания за почивка в хоризонтално положение след процедура по кинезитерапия .</w:t>
            </w:r>
          </w:p>
        </w:tc>
        <w:tc>
          <w:tcPr>
            <w:tcW w:w="19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Възстановяване и емоционално успокояване състоянието на децата.</w:t>
            </w:r>
          </w:p>
        </w:tc>
      </w:tr>
    </w:tbl>
    <w:p>
      <w:pPr>
        <w:pStyle w:val="Normal"/>
        <w:spacing w:lineRule="auto" w:line="360"/>
        <w:jc w:val="center"/>
        <w:rPr>
          <w:sz w:val="28"/>
          <w:szCs w:val="28"/>
        </w:rPr>
      </w:pPr>
      <w:r>
        <w:rPr>
          <w:b/>
          <w:sz w:val="32"/>
          <w:szCs w:val="32"/>
        </w:rPr>
      </w:r>
    </w:p>
    <w:p>
      <w:pPr>
        <w:pStyle w:val="Normal"/>
        <w:spacing w:lineRule="auto" w:line="360"/>
        <w:jc w:val="center"/>
        <w:rPr>
          <w:sz w:val="28"/>
          <w:szCs w:val="28"/>
        </w:rPr>
      </w:pPr>
      <w:r>
        <w:rPr>
          <w:b/>
          <w:sz w:val="32"/>
          <w:szCs w:val="32"/>
        </w:rPr>
      </w:r>
    </w:p>
    <w:p>
      <w:pPr>
        <w:pStyle w:val="Normal"/>
        <w:spacing w:lineRule="auto" w:line="360"/>
        <w:jc w:val="center"/>
        <w:rPr>
          <w:sz w:val="28"/>
          <w:szCs w:val="28"/>
        </w:rPr>
      </w:pPr>
      <w:r>
        <w:rPr>
          <w:b/>
          <w:sz w:val="32"/>
          <w:szCs w:val="32"/>
        </w:rPr>
      </w:r>
    </w:p>
    <w:p>
      <w:pPr>
        <w:pStyle w:val="Normal"/>
        <w:spacing w:lineRule="auto" w:line="360"/>
        <w:jc w:val="center"/>
        <w:rPr>
          <w:sz w:val="28"/>
          <w:szCs w:val="28"/>
        </w:rPr>
      </w:pPr>
      <w:r>
        <w:rPr>
          <w:b/>
          <w:sz w:val="32"/>
          <w:szCs w:val="32"/>
        </w:rPr>
        <w:t>5.2 Комплекс по кинезитерапия</w:t>
      </w:r>
    </w:p>
    <w:tbl>
      <w:tblPr>
        <w:tblW w:w="9288" w:type="dxa"/>
        <w:jc w:val="left"/>
        <w:tblInd w:w="0" w:type="dxa"/>
        <w:tblLayout w:type="fixed"/>
        <w:tblCellMar>
          <w:top w:w="0" w:type="dxa"/>
          <w:left w:w="108" w:type="dxa"/>
          <w:bottom w:w="0" w:type="dxa"/>
          <w:right w:w="108" w:type="dxa"/>
        </w:tblCellMar>
      </w:tblPr>
      <w:tblGrid>
        <w:gridCol w:w="637"/>
        <w:gridCol w:w="2952"/>
        <w:gridCol w:w="1840"/>
        <w:gridCol w:w="1809"/>
        <w:gridCol w:w="2050"/>
      </w:tblGrid>
      <w:tr>
        <w:trPr/>
        <w:tc>
          <w:tcPr>
            <w:tcW w:w="63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rPr>
            </w:pPr>
            <w:r>
              <w:rPr>
                <w:b/>
              </w:rPr>
              <w:t>№</w:t>
            </w:r>
          </w:p>
        </w:tc>
        <w:tc>
          <w:tcPr>
            <w:tcW w:w="295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rPr>
            </w:pPr>
            <w:r>
              <w:rPr>
                <w:b/>
              </w:rPr>
              <w:t>Изходно положение</w:t>
            </w:r>
          </w:p>
        </w:tc>
        <w:tc>
          <w:tcPr>
            <w:tcW w:w="184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rPr>
            </w:pPr>
            <w:r>
              <w:rPr>
                <w:b/>
              </w:rPr>
              <w:t>упражнения</w:t>
            </w:r>
          </w:p>
        </w:tc>
        <w:tc>
          <w:tcPr>
            <w:tcW w:w="1809"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rPr>
            </w:pPr>
            <w:r>
              <w:rPr>
                <w:b/>
              </w:rPr>
              <w:t>Дозировка</w:t>
            </w:r>
          </w:p>
        </w:tc>
        <w:tc>
          <w:tcPr>
            <w:tcW w:w="205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rPr>
            </w:pPr>
            <w:r>
              <w:rPr>
                <w:b/>
              </w:rPr>
              <w:t>Методически указания</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1</w:t>
            </w:r>
          </w:p>
          <w:p>
            <w:pPr>
              <w:pStyle w:val="Normal"/>
              <w:spacing w:lineRule="auto" w:line="360"/>
              <w:jc w:val="center"/>
              <w:rPr>
                <w:sz w:val="20"/>
                <w:szCs w:val="20"/>
              </w:rPr>
            </w:pPr>
            <w:r>
              <w:rPr>
                <w:sz w:val="20"/>
                <w:szCs w:val="20"/>
              </w:rPr>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Тилен лег със свити крака в ТБС и КС</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Депресия на лопатките към гр. Стълб и лека флексия в ЛС. 6” изометрия</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6-8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Бавен темп  с максимално напрежение</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2</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pPr>
            <w:r>
              <w:rPr>
                <w:sz w:val="20"/>
                <w:szCs w:val="20"/>
              </w:rPr>
              <w:t>Тилен лег със свити крака в ТБС и КС</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Повдигане на краката и задържане 6”.</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6-8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Дозирано дишане</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3</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pPr>
            <w:r>
              <w:rPr>
                <w:sz w:val="20"/>
                <w:szCs w:val="20"/>
              </w:rPr>
              <w:t>Тилен лег със свити крака в ТБС и КС</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Гръден мост</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4-5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Дозирано дишане</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4</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Тилен лег със свити крака в ТБС и КС с ръце зад врата</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Флексия на трупа</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8-10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При флексията издишва</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5</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pPr>
            <w:r>
              <w:rPr>
                <w:sz w:val="20"/>
                <w:szCs w:val="20"/>
              </w:rPr>
              <w:t>Тилен лег със свити крака в ТБС и КС</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Коремна преса с кифозиране</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5-6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Бавен темп</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6</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Колянна опора с изпънати напред ръце.</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Кифозиране на гръдния дял с дълбоко поемане на въздух</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5-6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При връщане в изходно положение издишва</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7</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Колянна опора с ръце встрани и напред</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Изометрична котракция за м.пекторалис.13”</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4-5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Между интервалите 2” почивка</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8</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Свит тилен лег</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ПИР за м.трапециус</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4-5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Дозирано дишане</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9</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Тилен лег със свити крака в ТБС и КС с ръце зад врата</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Завъртане с изправяне до полуседеж изометрия 6”</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4-5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Между интервалите 2” почивка</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10</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Лицев лег с ръце напред</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Повдигане на горната част на трупа 6” изометрия</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8-10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Дозирано дишане</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11</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Лицев лег с ръце на нивото на раменете</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Повдигане на двата крака 6” изометрия</w:t>
            </w:r>
          </w:p>
          <w:p>
            <w:pPr>
              <w:pStyle w:val="Normal"/>
              <w:spacing w:lineRule="auto" w:line="360"/>
              <w:rPr>
                <w:sz w:val="20"/>
                <w:szCs w:val="20"/>
              </w:rPr>
            </w:pPr>
            <w:r>
              <w:rPr>
                <w:sz w:val="20"/>
                <w:szCs w:val="20"/>
              </w:rPr>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8-10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Дозирано дишане и бавен темп</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12</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Колянна опора с ръце встрани и напред</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pPr>
            <w:r>
              <w:rPr>
                <w:sz w:val="20"/>
                <w:szCs w:val="20"/>
              </w:rPr>
              <w:t>Екстензия срещу съпротивление при фиксиран таз 6” изометрия</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10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Дозирано дишане</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 xml:space="preserve">13 </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 xml:space="preserve">Тилен лег </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ПИР за ишиокрурална мускулатура</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6-8</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Посменно</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14</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Лицев лег</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Шийна екстензия срещу съпротивление върху главата при фиксиран таз 6” изометрия</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10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Бавен темп</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15</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Свит десен(ляв) страничен лег едноименната ръка под главата</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pPr>
            <w:r>
              <w:rPr>
                <w:sz w:val="20"/>
                <w:szCs w:val="20"/>
              </w:rPr>
              <w:t>От 1-6 екстензия и завъртане в обратна посока на торакалния сегмент.6” изометрия</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5-6 пъти за всяка страна</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следи се за правилно изпълнение</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16</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Тилен лег</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 xml:space="preserve"> </w:t>
            </w:r>
            <w:r>
              <w:rPr>
                <w:sz w:val="20"/>
                <w:szCs w:val="20"/>
              </w:rPr>
              <w:t>Стречинг за ишиокрурална мускулатура</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 xml:space="preserve">6-10 </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Посменно, бавен темп</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17</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Седеж с фиксиран таз с еластично важе зад врата</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Опъване на въжето с ръцете 6” изометрия</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6-8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Може да се подпомага за фиксация на гърба</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18</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Седеж с фиксиран таз</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 xml:space="preserve">Ексензия и завъртане в ляво и в дясно срещу съпротивление в областа на </w:t>
            </w:r>
            <w:r>
              <w:rPr>
                <w:sz w:val="20"/>
                <w:szCs w:val="20"/>
                <w:lang w:val="en-US"/>
              </w:rPr>
              <w:t>Th 6 – Th- 7</w:t>
            </w:r>
            <w:r>
              <w:rPr>
                <w:sz w:val="20"/>
                <w:szCs w:val="20"/>
              </w:rPr>
              <w:t xml:space="preserve"> по 6 пъти за всяка посока </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 xml:space="preserve">6-8 пъти </w:t>
            </w:r>
          </w:p>
        </w:tc>
        <w:tc>
          <w:tcPr>
            <w:tcW w:w="2050" w:type="dxa"/>
            <w:tcBorders>
              <w:top w:val="single" w:sz="12" w:space="0" w:color="000000"/>
              <w:left w:val="single" w:sz="12" w:space="0" w:color="000000"/>
              <w:bottom w:val="single" w:sz="12" w:space="0" w:color="000000"/>
              <w:right w:val="single" w:sz="12" w:space="0" w:color="000000"/>
            </w:tcBorders>
          </w:tcPr>
          <w:p>
            <w:pPr>
              <w:pStyle w:val="Normal"/>
              <w:snapToGrid w:val="false"/>
              <w:spacing w:lineRule="auto" w:line="360"/>
              <w:jc w:val="center"/>
              <w:rPr>
                <w:b/>
                <w:sz w:val="20"/>
                <w:szCs w:val="20"/>
              </w:rPr>
            </w:pPr>
            <w:r>
              <w:rPr>
                <w:b/>
                <w:sz w:val="20"/>
                <w:szCs w:val="20"/>
              </w:rPr>
            </w:r>
          </w:p>
          <w:p>
            <w:pPr>
              <w:pStyle w:val="Normal"/>
              <w:spacing w:lineRule="auto" w:line="360"/>
              <w:jc w:val="center"/>
              <w:rPr>
                <w:sz w:val="20"/>
                <w:szCs w:val="20"/>
              </w:rPr>
            </w:pPr>
            <w:r>
              <w:rPr>
                <w:sz w:val="20"/>
                <w:szCs w:val="20"/>
              </w:rPr>
              <w:t>Бавен темп</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 xml:space="preserve">19 </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Наведена колянка с ръце зад тила</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Екстензия и завъртане в ляво и дясно при неподвижен таз</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7-8 пъти за всяка посока</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 xml:space="preserve">Съпротивление в областта на </w:t>
            </w:r>
            <w:r>
              <w:rPr>
                <w:sz w:val="20"/>
                <w:szCs w:val="20"/>
                <w:lang w:val="en-US"/>
              </w:rPr>
              <w:t>Th6 – Th7</w:t>
            </w:r>
            <w:r>
              <w:rPr>
                <w:sz w:val="20"/>
                <w:szCs w:val="20"/>
              </w:rPr>
              <w:t xml:space="preserve"> </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 xml:space="preserve">20. </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Седеж с ръце над главата</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 xml:space="preserve">Екстензия 6сек.  с авторелаксация и издишване </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7-8 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Дълбоко вдишване и издишване</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21.</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Стоеж с лице към шведската стена</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lang w:val="en-US"/>
              </w:rPr>
            </w:pPr>
            <w:r>
              <w:rPr>
                <w:sz w:val="20"/>
                <w:szCs w:val="20"/>
              </w:rPr>
              <w:t xml:space="preserve">Автостречинг за </w:t>
            </w:r>
            <w:r>
              <w:rPr>
                <w:sz w:val="20"/>
                <w:szCs w:val="20"/>
                <w:lang w:val="en-US"/>
              </w:rPr>
              <w:t>m. triceps surae</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6-8пъти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посменно</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22.</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Стоеж с лице към шведската стена</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Автостречинг за ишиокрурална мускулатура</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6-8пъти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Бавен темп следи се за точност на изпълнението</w:t>
            </w:r>
          </w:p>
        </w:tc>
      </w:tr>
      <w:tr>
        <w:trPr/>
        <w:tc>
          <w:tcPr>
            <w:tcW w:w="637" w:type="dxa"/>
            <w:tcBorders>
              <w:top w:val="single" w:sz="12" w:space="0" w:color="000000"/>
              <w:left w:val="single" w:sz="12" w:space="0" w:color="000000"/>
              <w:bottom w:val="single" w:sz="12" w:space="0" w:color="000000"/>
              <w:right w:val="single" w:sz="12" w:space="0" w:color="000000"/>
            </w:tcBorders>
          </w:tcPr>
          <w:p>
            <w:pPr>
              <w:pStyle w:val="PlainText"/>
              <w:spacing w:lineRule="auto" w:line="360"/>
              <w:jc w:val="both"/>
              <w:rPr/>
            </w:pPr>
            <w:r>
              <w:rPr/>
              <w:t xml:space="preserve">23. </w:t>
            </w:r>
          </w:p>
        </w:tc>
        <w:tc>
          <w:tcPr>
            <w:tcW w:w="295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Стоеж с гръб към шведската стена</w:t>
            </w:r>
          </w:p>
        </w:tc>
        <w:tc>
          <w:tcPr>
            <w:tcW w:w="184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Наклон напред с фиксирани колене</w:t>
            </w:r>
          </w:p>
        </w:tc>
        <w:tc>
          <w:tcPr>
            <w:tcW w:w="1809"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10-12пъти</w:t>
            </w:r>
          </w:p>
        </w:tc>
        <w:tc>
          <w:tcPr>
            <w:tcW w:w="205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center"/>
              <w:rPr>
                <w:sz w:val="20"/>
                <w:szCs w:val="20"/>
              </w:rPr>
            </w:pPr>
            <w:r>
              <w:rPr>
                <w:sz w:val="20"/>
                <w:szCs w:val="20"/>
              </w:rPr>
              <w:t>Свободно дишане</w:t>
            </w:r>
          </w:p>
        </w:tc>
      </w:tr>
    </w:tbl>
    <w:p>
      <w:pPr>
        <w:pStyle w:val="Normal"/>
        <w:spacing w:lineRule="auto" w:line="360"/>
        <w:jc w:val="center"/>
        <w:rPr>
          <w:sz w:val="28"/>
          <w:szCs w:val="28"/>
        </w:rPr>
      </w:pPr>
      <w:r>
        <w:rPr>
          <w:b/>
          <w:sz w:val="32"/>
          <w:szCs w:val="32"/>
        </w:rPr>
      </w:r>
    </w:p>
    <w:p>
      <w:pPr>
        <w:pStyle w:val="Normal"/>
        <w:spacing w:lineRule="auto" w:line="360"/>
        <w:rPr>
          <w:sz w:val="28"/>
          <w:szCs w:val="28"/>
        </w:rPr>
      </w:pPr>
      <w:r>
        <w:rPr>
          <w:b/>
          <w:sz w:val="32"/>
          <w:szCs w:val="32"/>
          <w:lang w:val="en-US"/>
        </w:rPr>
      </w:r>
    </w:p>
    <w:p>
      <w:pPr>
        <w:pStyle w:val="Normal"/>
        <w:spacing w:lineRule="auto" w:line="360"/>
        <w:rPr>
          <w:sz w:val="28"/>
          <w:szCs w:val="28"/>
        </w:rPr>
      </w:pPr>
      <w:r>
        <w:rPr>
          <w:b/>
          <w:sz w:val="32"/>
          <w:szCs w:val="32"/>
          <w:lang w:val="en-US"/>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rPr>
          <w:sz w:val="28"/>
          <w:szCs w:val="28"/>
        </w:rPr>
      </w:pPr>
      <w:r>
        <w:rPr>
          <w:b/>
          <w:sz w:val="32"/>
          <w:szCs w:val="32"/>
        </w:rPr>
      </w:r>
    </w:p>
    <w:p>
      <w:pPr>
        <w:pStyle w:val="Normal"/>
        <w:spacing w:lineRule="auto" w:line="360"/>
        <w:jc w:val="center"/>
        <w:rPr>
          <w:sz w:val="28"/>
          <w:szCs w:val="28"/>
        </w:rPr>
      </w:pPr>
      <w:r>
        <w:rPr>
          <w:b/>
          <w:sz w:val="32"/>
          <w:szCs w:val="32"/>
        </w:rPr>
      </w:r>
    </w:p>
    <w:p>
      <w:pPr>
        <w:pStyle w:val="Normal"/>
        <w:spacing w:lineRule="auto" w:line="360"/>
        <w:jc w:val="center"/>
        <w:rPr>
          <w:sz w:val="28"/>
          <w:szCs w:val="28"/>
        </w:rPr>
      </w:pPr>
      <w:r>
        <w:rPr>
          <w:b/>
          <w:sz w:val="32"/>
          <w:szCs w:val="32"/>
        </w:rPr>
        <w:t>6. РЕЗУЛТАТИ И АНАЛИЗ</w:t>
      </w:r>
    </w:p>
    <w:p>
      <w:pPr>
        <w:pStyle w:val="Normal"/>
        <w:spacing w:lineRule="auto" w:line="360"/>
        <w:rPr>
          <w:sz w:val="28"/>
          <w:szCs w:val="28"/>
        </w:rPr>
      </w:pPr>
      <w:r>
        <w:rPr>
          <w:b/>
          <w:sz w:val="28"/>
          <w:szCs w:val="28"/>
          <w:lang w:val="en-US"/>
        </w:rPr>
      </w:r>
    </w:p>
    <w:p>
      <w:pPr>
        <w:pStyle w:val="Normal"/>
        <w:spacing w:lineRule="auto" w:line="360"/>
        <w:jc w:val="both"/>
        <w:rPr>
          <w:sz w:val="28"/>
          <w:szCs w:val="28"/>
        </w:rPr>
      </w:pPr>
      <w:r>
        <w:rPr>
          <w:sz w:val="28"/>
          <w:szCs w:val="28"/>
        </w:rPr>
        <w:tab/>
        <w:t xml:space="preserve">След приложената статистическа компютърна обработка може да се направи анализ на работния материал от нашето изследване. За статистическата обработка на данните използвахме програмата </w:t>
      </w:r>
      <w:r>
        <w:rPr>
          <w:sz w:val="28"/>
          <w:szCs w:val="28"/>
          <w:lang w:val="en-US"/>
        </w:rPr>
        <w:t>STAT GRAF 5.0.</w:t>
      </w:r>
      <w:r>
        <w:rPr>
          <w:sz w:val="28"/>
          <w:szCs w:val="28"/>
        </w:rPr>
        <w:t xml:space="preserve"> </w:t>
      </w:r>
    </w:p>
    <w:p>
      <w:pPr>
        <w:pStyle w:val="Normal"/>
        <w:spacing w:lineRule="auto" w:line="360"/>
        <w:jc w:val="both"/>
        <w:rPr>
          <w:sz w:val="28"/>
          <w:szCs w:val="28"/>
        </w:rPr>
      </w:pPr>
      <w:r>
        <w:rPr>
          <w:sz w:val="28"/>
          <w:szCs w:val="28"/>
        </w:rPr>
      </w:r>
    </w:p>
    <w:p>
      <w:pPr>
        <w:pStyle w:val="PlainText"/>
        <w:spacing w:lineRule="auto" w:line="360"/>
        <w:jc w:val="center"/>
        <w:rPr>
          <w:sz w:val="28"/>
          <w:szCs w:val="28"/>
        </w:rPr>
      </w:pPr>
      <w:r>
        <w:rPr>
          <w:rFonts w:cs="Times New Roman" w:ascii="Times New Roman" w:hAnsi="Times New Roman"/>
          <w:b/>
          <w:sz w:val="32"/>
          <w:szCs w:val="32"/>
          <w:lang w:val="ru-RU"/>
        </w:rPr>
        <w:t>6.1 Методика на статистическата обработка</w:t>
      </w:r>
    </w:p>
    <w:p>
      <w:pPr>
        <w:pStyle w:val="Normal"/>
        <w:spacing w:lineRule="auto" w:line="360"/>
        <w:ind w:firstLine="284"/>
        <w:jc w:val="both"/>
        <w:rPr>
          <w:sz w:val="28"/>
          <w:szCs w:val="28"/>
        </w:rPr>
      </w:pPr>
      <w:r>
        <w:rPr>
          <w:sz w:val="28"/>
        </w:rPr>
        <w:t>За обективизиране на резултатите от лечението, данните бяха систематизирани и подложени на вариационен и сравнителен анализ.</w:t>
      </w:r>
    </w:p>
    <w:p>
      <w:pPr>
        <w:pStyle w:val="Normal"/>
        <w:spacing w:lineRule="auto" w:line="360"/>
        <w:ind w:firstLine="284"/>
        <w:jc w:val="both"/>
        <w:rPr>
          <w:sz w:val="28"/>
          <w:szCs w:val="28"/>
        </w:rPr>
      </w:pPr>
      <w:r>
        <w:rPr>
          <w:sz w:val="28"/>
        </w:rPr>
        <w:t>От вариационния анализ взехме под внимание показателите:</w:t>
      </w:r>
    </w:p>
    <w:p>
      <w:pPr>
        <w:pStyle w:val="Normal"/>
        <w:rPr>
          <w:sz w:val="28"/>
          <w:szCs w:val="28"/>
        </w:rPr>
      </w:pPr>
      <w:r>
        <w:rPr>
          <w:sz w:val="28"/>
        </w:rPr>
        <w:t xml:space="preserve">Средна аритметична величина - </w:t>
      </w:r>
      <w:r>
        <w:rPr>
          <w:rFonts w:cs="Arial" w:ascii="Arial" w:hAnsi="Arial"/>
          <w:sz w:val="32"/>
        </w:rPr>
      </w:r>
      <m:oMath xmlns:m="http://schemas.openxmlformats.org/officeDocument/2006/math">
        <m:acc>
          <m:accPr>
            <m:chr m:val="¯"/>
          </m:accPr>
          <m:e>
            <m:r>
              <w:rPr>
                <w:rFonts w:ascii="Cambria Math" w:hAnsi="Cambria Math"/>
              </w:rPr>
              <m:t xml:space="preserve">X</m:t>
            </m:r>
          </m:e>
        </m:acc>
        <m:r>
          <w:rPr>
            <w:rFonts w:ascii="Cambria Math" w:hAnsi="Cambria Math"/>
          </w:rPr>
          <m:t xml:space="preserve">=</m:t>
        </m:r>
        <m:f>
          <m:num>
            <m:r>
              <w:rPr>
                <w:rFonts w:ascii="Cambria Math" w:hAnsi="Cambria Math"/>
              </w:rPr>
              <m:t xml:space="preserve">Σ</m:t>
            </m:r>
            <m:r>
              <m:rPr>
                <m:lit/>
                <m:nor/>
              </m:rPr>
              <w:rPr>
                <w:rFonts w:ascii="Cambria Math" w:hAnsi="Cambria Math"/>
              </w:rPr>
              <m:t xml:space="preserve">.</m:t>
            </m:r>
            <m:r>
              <w:rPr>
                <w:rFonts w:ascii="Cambria Math" w:hAnsi="Cambria Math"/>
              </w:rPr>
              <m:t xml:space="preserve">x</m:t>
            </m:r>
          </m:num>
          <m:den>
            <m:r>
              <w:rPr>
                <w:rFonts w:ascii="Cambria Math" w:hAnsi="Cambria Math"/>
              </w:rPr>
              <m:t xml:space="preserve">n</m:t>
            </m:r>
          </m:den>
        </m:f>
      </m:oMath>
      <w:r>
        <w:rPr>
          <w:rFonts w:cs="Arial" w:ascii="Arial" w:hAnsi="Arial"/>
          <w:sz w:val="32"/>
        </w:rPr>
      </w:r>
      <m:oMath xmlns:m="http://schemas.openxmlformats.org/officeDocument/2006/math"/>
    </w:p>
    <w:p>
      <w:pPr>
        <w:pStyle w:val="Normal"/>
        <w:spacing w:lineRule="auto" w:line="360"/>
        <w:ind w:firstLine="284"/>
        <w:jc w:val="both"/>
        <w:rPr>
          <w:sz w:val="28"/>
          <w:szCs w:val="28"/>
        </w:rPr>
      </w:pPr>
      <w:r>
        <w:rPr>
          <w:rFonts w:cs="Arial" w:ascii="Arial" w:hAnsi="Arial"/>
          <w:sz w:val="28"/>
        </w:rPr>
      </w:r>
    </w:p>
    <w:p>
      <w:pPr>
        <w:pStyle w:val="Normal"/>
        <w:spacing w:lineRule="auto" w:line="360"/>
        <w:ind w:firstLine="284"/>
        <w:jc w:val="both"/>
        <w:rPr>
          <w:sz w:val="28"/>
          <w:szCs w:val="28"/>
        </w:rPr>
      </w:pPr>
      <w:r>
        <w:rPr>
          <w:b/>
          <w:sz w:val="28"/>
        </w:rPr>
        <w:t>Х</w:t>
      </w:r>
      <w:r>
        <w:rPr>
          <w:b/>
          <w:sz w:val="28"/>
          <w:lang w:val="en-US"/>
        </w:rPr>
        <w:t>min</w:t>
      </w:r>
      <w:r>
        <w:rPr>
          <w:sz w:val="28"/>
          <w:lang w:val="en-US"/>
        </w:rPr>
        <w:t xml:space="preserve"> –</w:t>
      </w:r>
      <w:r>
        <w:rPr>
          <w:sz w:val="28"/>
        </w:rPr>
        <w:t xml:space="preserve"> минимална стойност на променливата</w:t>
      </w:r>
    </w:p>
    <w:p>
      <w:pPr>
        <w:pStyle w:val="Normal"/>
        <w:spacing w:lineRule="auto" w:line="360"/>
        <w:ind w:firstLine="284"/>
        <w:jc w:val="both"/>
        <w:rPr>
          <w:sz w:val="28"/>
          <w:szCs w:val="28"/>
        </w:rPr>
      </w:pPr>
      <w:r>
        <w:rPr>
          <w:b/>
          <w:sz w:val="28"/>
          <w:lang w:val="en-US"/>
        </w:rPr>
        <w:t>Xmax</w:t>
      </w:r>
      <w:r>
        <w:rPr>
          <w:sz w:val="28"/>
          <w:lang w:val="en-US"/>
        </w:rPr>
        <w:t xml:space="preserve"> – </w:t>
      </w:r>
      <w:r>
        <w:rPr>
          <w:sz w:val="28"/>
        </w:rPr>
        <w:t>максимална стойност но променливата</w:t>
      </w:r>
    </w:p>
    <w:p>
      <w:pPr>
        <w:pStyle w:val="Normal"/>
        <w:spacing w:lineRule="auto" w:line="360"/>
        <w:ind w:firstLine="284"/>
        <w:jc w:val="both"/>
        <w:rPr>
          <w:sz w:val="28"/>
          <w:szCs w:val="28"/>
        </w:rPr>
      </w:pPr>
      <w:r>
        <w:rPr>
          <w:b/>
          <w:sz w:val="28"/>
          <w:lang w:val="en-US"/>
        </w:rPr>
        <w:t>R</w:t>
      </w:r>
      <w:r>
        <w:rPr>
          <w:b/>
          <w:sz w:val="28"/>
        </w:rPr>
        <w:t xml:space="preserve">  </w:t>
      </w:r>
      <w:r>
        <w:rPr>
          <w:sz w:val="28"/>
        </w:rPr>
        <w:t xml:space="preserve">      – размах на диапазона на разсейване</w:t>
      </w:r>
    </w:p>
    <w:p>
      <w:pPr>
        <w:pStyle w:val="Normal"/>
        <w:spacing w:lineRule="auto" w:line="360"/>
        <w:ind w:firstLine="284"/>
        <w:jc w:val="both"/>
        <w:rPr>
          <w:sz w:val="28"/>
          <w:szCs w:val="28"/>
        </w:rPr>
      </w:pPr>
      <w:r>
        <w:rPr>
          <w:b/>
          <w:sz w:val="28"/>
          <w:lang w:val="en-US"/>
        </w:rPr>
        <w:t xml:space="preserve">S </w:t>
      </w:r>
      <w:r>
        <w:rPr>
          <w:sz w:val="28"/>
          <w:lang w:val="en-US"/>
        </w:rPr>
        <w:t xml:space="preserve">       – </w:t>
      </w:r>
      <w:r>
        <w:rPr>
          <w:sz w:val="28"/>
        </w:rPr>
        <w:t xml:space="preserve">стандартно отклонение </w:t>
      </w:r>
    </w:p>
    <w:p>
      <w:pPr>
        <w:pStyle w:val="Normal"/>
        <w:jc w:val="center"/>
        <w:rPr>
          <w:sz w:val="28"/>
          <w:szCs w:val="28"/>
        </w:rPr>
      </w:pPr>
      <w:r>
        <w:rPr>
          <w:rFonts w:cs="Arial" w:ascii="Arial" w:hAnsi="Arial"/>
          <w:sz w:val="32"/>
        </w:rPr>
      </w:r>
      <m:oMathPara xmlns:m="http://schemas.openxmlformats.org/officeDocument/2006/math">
        <m:oMathParaPr>
          <m:jc m:val="center"/>
        </m:oMathParaPr>
        <m:oMath>
          <m:r>
            <w:rPr>
              <w:rFonts w:ascii="Cambria Math" w:hAnsi="Cambria Math"/>
            </w:rPr>
            <m:t xml:space="preserve">S</m:t>
          </m:r>
          <m:r>
            <w:rPr>
              <w:rFonts w:ascii="Cambria Math" w:hAnsi="Cambria Math"/>
            </w:rPr>
            <m:t xml:space="preserve">=</m:t>
          </m:r>
          <m:rad>
            <m:radPr>
              <m:degHide m:val="1"/>
            </m:radPr>
            <m:deg/>
            <m:e>
              <m:f>
                <m:num>
                  <m:r>
                    <w:rPr>
                      <w:rFonts w:ascii="Cambria Math" w:hAnsi="Cambria Math"/>
                    </w:rPr>
                    <m:t xml:space="preserve">(</m:t>
                  </m:r>
                  <m:r>
                    <w:rPr>
                      <w:rFonts w:ascii="Cambria Math" w:hAnsi="Cambria Math"/>
                    </w:rPr>
                    <m:t xml:space="preserve">x</m:t>
                  </m:r>
                  <m:r>
                    <w:rPr>
                      <w:rFonts w:ascii="Cambria Math" w:hAnsi="Cambria Math"/>
                    </w:rPr>
                    <m:t xml:space="preserve">−</m:t>
                  </m:r>
                  <m:r>
                    <w:rPr>
                      <w:rFonts w:ascii="Cambria Math" w:hAnsi="Cambria Math"/>
                    </w:rPr>
                    <m:t xml:space="preserve">x</m:t>
                  </m:r>
                  <m:r>
                    <w:rPr>
                      <w:rFonts w:ascii="Cambria Math" w:hAnsi="Cambria Math"/>
                    </w:rPr>
                    <m:t xml:space="preserve">)</m:t>
                  </m:r>
                </m:num>
                <m:den>
                  <m:r>
                    <w:rPr>
                      <w:rFonts w:ascii="Cambria Math" w:hAnsi="Cambria Math"/>
                    </w:rPr>
                    <m:t xml:space="preserve">n</m:t>
                  </m:r>
                  <m:r>
                    <w:rPr>
                      <w:rFonts w:ascii="Cambria Math" w:hAnsi="Cambria Math"/>
                    </w:rPr>
                    <m:t xml:space="preserve">−</m:t>
                  </m:r>
                  <m:r>
                    <w:rPr>
                      <w:rFonts w:ascii="Cambria Math" w:hAnsi="Cambria Math"/>
                    </w:rPr>
                    <m:t xml:space="preserve">1</m:t>
                  </m:r>
                </m:den>
              </m:f>
            </m:e>
          </m:rad>
        </m:oMath>
      </m:oMathPara>
    </w:p>
    <w:p>
      <w:pPr>
        <w:pStyle w:val="Normal"/>
        <w:spacing w:lineRule="auto" w:line="360"/>
        <w:ind w:firstLine="284"/>
        <w:jc w:val="both"/>
        <w:rPr>
          <w:sz w:val="28"/>
          <w:szCs w:val="28"/>
        </w:rPr>
      </w:pPr>
      <w:r>
        <w:rPr>
          <w:rFonts w:cs="Arial" w:ascii="Arial" w:hAnsi="Arial"/>
          <w:sz w:val="28"/>
        </w:rPr>
      </w:r>
    </w:p>
    <w:p>
      <w:pPr>
        <w:pStyle w:val="Normal"/>
        <w:spacing w:lineRule="auto" w:line="360"/>
        <w:ind w:firstLine="284"/>
        <w:jc w:val="both"/>
        <w:rPr>
          <w:sz w:val="28"/>
          <w:szCs w:val="28"/>
        </w:rPr>
      </w:pPr>
      <w:r>
        <w:rPr>
          <w:sz w:val="28"/>
          <w:lang w:val="en-US"/>
        </w:rPr>
        <w:t xml:space="preserve">V% - </w:t>
      </w:r>
      <w:r>
        <w:rPr>
          <w:sz w:val="28"/>
        </w:rPr>
        <w:t>коефициент на вариация</w:t>
      </w:r>
    </w:p>
    <w:p>
      <w:pPr>
        <w:pStyle w:val="Normal"/>
        <w:spacing w:lineRule="auto" w:line="360"/>
        <w:ind w:firstLine="284"/>
        <w:jc w:val="center"/>
        <w:rPr>
          <w:sz w:val="28"/>
          <w:szCs w:val="28"/>
        </w:rPr>
      </w:pPr>
      <w:r>
        <w:rPr>
          <w:rFonts w:cs="Arial" w:ascii="Arial" w:hAnsi="Arial"/>
          <w:sz w:val="32"/>
        </w:rPr>
      </w:r>
      <m:oMathPara xmlns:m="http://schemas.openxmlformats.org/officeDocument/2006/math">
        <m:oMathParaPr>
          <m:jc m:val="center"/>
        </m:oMathParaPr>
        <m:oMath>
          <m:r>
            <m:rPr>
              <m:lit/>
              <m:nor/>
            </m:rPr>
            <w:rPr>
              <w:rFonts w:ascii="Cambria Math" w:hAnsi="Cambria Math"/>
            </w:rPr>
            <m:t xml:space="preserve">V%</m:t>
          </m:r>
          <m:r>
            <w:rPr>
              <w:rFonts w:ascii="Cambria Math" w:hAnsi="Cambria Math"/>
            </w:rPr>
            <m:t xml:space="preserve">=</m:t>
          </m:r>
          <m:f>
            <m:num>
              <m:r>
                <w:rPr>
                  <w:rFonts w:ascii="Cambria Math" w:hAnsi="Cambria Math"/>
                </w:rPr>
                <m:t xml:space="preserve">S</m:t>
              </m:r>
              <m:r>
                <m:rPr>
                  <m:lit/>
                  <m:nor/>
                </m:rPr>
                <w:rPr>
                  <w:rFonts w:ascii="Cambria Math" w:hAnsi="Cambria Math"/>
                </w:rPr>
                <m:t xml:space="preserve">.</m:t>
              </m:r>
              <m:r>
                <m:rPr>
                  <m:lit/>
                  <m:nor/>
                </m:rPr>
                <w:rPr>
                  <w:rFonts w:ascii="Cambria Math" w:hAnsi="Cambria Math"/>
                </w:rPr>
                <m:t xml:space="preserve">100</m:t>
              </m:r>
            </m:num>
            <m:den>
              <m:bar>
                <m:barPr>
                  <m:pos m:val="top"/>
                </m:barPr>
                <m:e>
                  <m:r>
                    <w:rPr>
                      <w:rFonts w:ascii="Cambria Math" w:hAnsi="Cambria Math"/>
                    </w:rPr>
                    <m:t xml:space="preserve">X</m:t>
                  </m:r>
                </m:e>
              </m:bar>
            </m:den>
          </m:f>
        </m:oMath>
      </m:oMathPara>
    </w:p>
    <w:p>
      <w:pPr>
        <w:pStyle w:val="Normal"/>
        <w:spacing w:lineRule="auto" w:line="360"/>
        <w:ind w:firstLine="284"/>
        <w:jc w:val="both"/>
        <w:rPr>
          <w:sz w:val="28"/>
          <w:szCs w:val="28"/>
        </w:rPr>
      </w:pPr>
      <w:r>
        <w:rPr>
          <w:sz w:val="28"/>
        </w:rPr>
      </w:r>
    </w:p>
    <w:p>
      <w:pPr>
        <w:pStyle w:val="Normal"/>
        <w:spacing w:lineRule="auto" w:line="360"/>
        <w:ind w:firstLine="284"/>
        <w:jc w:val="both"/>
        <w:rPr>
          <w:sz w:val="28"/>
          <w:szCs w:val="28"/>
        </w:rPr>
      </w:pPr>
      <w:r>
        <w:rPr>
          <w:sz w:val="28"/>
        </w:rPr>
        <w:t>От сравнителния анализ се взе под вимание:</w:t>
      </w:r>
    </w:p>
    <w:p>
      <w:pPr>
        <w:pStyle w:val="Normal"/>
        <w:spacing w:lineRule="auto" w:line="360"/>
        <w:ind w:firstLine="284"/>
        <w:jc w:val="both"/>
        <w:rPr>
          <w:sz w:val="28"/>
          <w:szCs w:val="28"/>
        </w:rPr>
      </w:pPr>
      <w:r>
        <w:rPr>
          <w:sz w:val="28"/>
          <w:lang w:val="en-US"/>
        </w:rPr>
        <w:t xml:space="preserve">t – </w:t>
      </w:r>
      <w:r>
        <w:rPr>
          <w:sz w:val="28"/>
        </w:rPr>
        <w:t>критерия на Стюдънт за зависими извадки.</w:t>
      </w:r>
    </w:p>
    <w:p>
      <w:pPr>
        <w:pStyle w:val="Normal"/>
        <w:spacing w:lineRule="auto" w:line="360"/>
        <w:ind w:firstLine="284"/>
        <w:jc w:val="both"/>
        <w:rPr>
          <w:sz w:val="28"/>
          <w:szCs w:val="28"/>
        </w:rPr>
      </w:pPr>
      <w:r>
        <w:rPr>
          <w:sz w:val="28"/>
        </w:rPr>
        <w:t>Чрез него оценихме достоверността на разликите в прираста на наблюдаваните показатели между началното и крайното състояние на пациентите.</w:t>
      </w:r>
    </w:p>
    <w:p>
      <w:pPr>
        <w:pStyle w:val="Normal"/>
        <w:spacing w:lineRule="auto" w:line="360"/>
        <w:ind w:firstLine="284"/>
        <w:jc w:val="both"/>
        <w:rPr>
          <w:sz w:val="28"/>
          <w:szCs w:val="28"/>
        </w:rPr>
      </w:pPr>
      <w:r>
        <w:rPr>
          <w:sz w:val="28"/>
        </w:rPr>
        <w:t xml:space="preserve">За достоверни се считат разликите при които </w:t>
      </w:r>
      <w:r>
        <w:rPr>
          <w:sz w:val="28"/>
          <w:lang w:val="en-US"/>
        </w:rPr>
        <w:t xml:space="preserve">t = </w:t>
      </w:r>
      <w:r>
        <w:rPr>
          <w:sz w:val="28"/>
        </w:rPr>
        <w:t xml:space="preserve">2,00 т.е. при гарантирана вероятност </w:t>
      </w:r>
      <w:r>
        <w:rPr>
          <w:sz w:val="28"/>
          <w:lang w:val="en-US"/>
        </w:rPr>
        <w:t xml:space="preserve">P&gt;95 </w:t>
      </w:r>
      <w:r>
        <w:rPr>
          <w:sz w:val="28"/>
        </w:rPr>
        <w:t>%.</w:t>
      </w:r>
    </w:p>
    <w:p>
      <w:pPr>
        <w:pStyle w:val="Normal"/>
        <w:spacing w:lineRule="auto" w:line="360"/>
        <w:jc w:val="center"/>
        <w:rPr>
          <w:sz w:val="28"/>
          <w:szCs w:val="28"/>
        </w:rPr>
      </w:pPr>
      <w:r>
        <w:rPr>
          <w:b/>
          <w:sz w:val="28"/>
          <w:szCs w:val="28"/>
        </w:rPr>
        <w:t>Работна рупа „А”</w:t>
      </w:r>
    </w:p>
    <w:tbl>
      <w:tblPr>
        <w:tblW w:w="9288" w:type="dxa"/>
        <w:jc w:val="left"/>
        <w:tblInd w:w="0" w:type="dxa"/>
        <w:tblLayout w:type="fixed"/>
        <w:tblCellMar>
          <w:top w:w="0" w:type="dxa"/>
          <w:left w:w="108" w:type="dxa"/>
          <w:bottom w:w="0" w:type="dxa"/>
          <w:right w:w="108" w:type="dxa"/>
        </w:tblCellMar>
      </w:tblPr>
      <w:tblGrid>
        <w:gridCol w:w="684"/>
        <w:gridCol w:w="641"/>
        <w:gridCol w:w="684"/>
        <w:gridCol w:w="645"/>
        <w:gridCol w:w="684"/>
        <w:gridCol w:w="642"/>
        <w:gridCol w:w="684"/>
        <w:gridCol w:w="642"/>
        <w:gridCol w:w="684"/>
        <w:gridCol w:w="646"/>
        <w:gridCol w:w="684"/>
        <w:gridCol w:w="642"/>
        <w:gridCol w:w="684"/>
        <w:gridCol w:w="642"/>
      </w:tblGrid>
      <w:tr>
        <w:trPr>
          <w:trHeight w:val="930" w:hRule="atLeast"/>
        </w:trPr>
        <w:tc>
          <w:tcPr>
            <w:tcW w:w="1325"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Величина на деформацията</w:t>
            </w:r>
          </w:p>
        </w:tc>
        <w:tc>
          <w:tcPr>
            <w:tcW w:w="1329"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Височина на кифозата</w:t>
            </w:r>
          </w:p>
        </w:tc>
        <w:tc>
          <w:tcPr>
            <w:tcW w:w="1326"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Подвижност по тест на Отт</w:t>
            </w:r>
          </w:p>
        </w:tc>
        <w:tc>
          <w:tcPr>
            <w:tcW w:w="1326"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Подвижност на гръдния кош по Хирц</w:t>
            </w:r>
          </w:p>
        </w:tc>
        <w:tc>
          <w:tcPr>
            <w:tcW w:w="1330"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Силова издръжливост на гръбната мускулатура</w:t>
            </w:r>
          </w:p>
        </w:tc>
        <w:tc>
          <w:tcPr>
            <w:tcW w:w="1326"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Силова издръжливост на коремната мускулатура</w:t>
            </w:r>
          </w:p>
        </w:tc>
        <w:tc>
          <w:tcPr>
            <w:tcW w:w="1326"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Комплексна оценка на скъсената ишиокрурална мускулатура</w:t>
            </w:r>
          </w:p>
        </w:tc>
      </w:tr>
      <w:tr>
        <w:trPr/>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6"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r>
      <w:tr>
        <w:trPr/>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p>
        </w:tc>
        <w:tc>
          <w:tcPr>
            <w:tcW w:w="64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4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26</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4,8</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46"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r>
      <w:tr>
        <w:trPr/>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4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34</w:t>
            </w:r>
          </w:p>
        </w:tc>
        <w:tc>
          <w:tcPr>
            <w:tcW w:w="64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6,5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46"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28”</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r>
      <w:tr>
        <w:trPr/>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32</w:t>
            </w:r>
          </w:p>
        </w:tc>
        <w:tc>
          <w:tcPr>
            <w:tcW w:w="64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32</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64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p>
        </w:tc>
        <w:tc>
          <w:tcPr>
            <w:tcW w:w="646"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28”</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r>
      <w:tr>
        <w:trPr/>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64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37</w:t>
            </w:r>
          </w:p>
        </w:tc>
        <w:tc>
          <w:tcPr>
            <w:tcW w:w="64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38,5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0,8</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3,8</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46"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60”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48”</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r>
      <w:tr>
        <w:trPr/>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22</w:t>
            </w:r>
          </w:p>
        </w:tc>
        <w:tc>
          <w:tcPr>
            <w:tcW w:w="64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29</w:t>
            </w:r>
          </w:p>
        </w:tc>
        <w:tc>
          <w:tcPr>
            <w:tcW w:w="64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28,5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646"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r>
      <w:tr>
        <w:trPr/>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23</w:t>
            </w:r>
          </w:p>
        </w:tc>
        <w:tc>
          <w:tcPr>
            <w:tcW w:w="64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33</w:t>
            </w:r>
          </w:p>
        </w:tc>
        <w:tc>
          <w:tcPr>
            <w:tcW w:w="64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34</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7</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46"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1,15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r>
      <w:tr>
        <w:trPr/>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4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36</w:t>
            </w:r>
          </w:p>
        </w:tc>
        <w:tc>
          <w:tcPr>
            <w:tcW w:w="64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37</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1,7</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2,7</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6</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646"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r>
    </w:tbl>
    <w:p>
      <w:pPr>
        <w:pStyle w:val="Normal"/>
        <w:spacing w:lineRule="auto" w:line="360"/>
        <w:jc w:val="both"/>
        <w:rPr>
          <w:sz w:val="28"/>
          <w:szCs w:val="28"/>
        </w:rPr>
      </w:pPr>
      <w:r>
        <w:rPr>
          <w:sz w:val="28"/>
          <w:szCs w:val="28"/>
        </w:rPr>
        <w:tab/>
        <w:tab/>
        <w:tab/>
        <w:tab/>
        <w:tab/>
        <w:tab/>
        <w:tab/>
        <w:tab/>
        <w:tab/>
        <w:t xml:space="preserve">Таблица №2 </w:t>
      </w:r>
    </w:p>
    <w:p>
      <w:pPr>
        <w:pStyle w:val="Normal"/>
        <w:spacing w:lineRule="auto" w:line="360"/>
        <w:jc w:val="both"/>
        <w:rPr>
          <w:sz w:val="28"/>
          <w:szCs w:val="28"/>
        </w:rPr>
      </w:pPr>
      <w:r>
        <w:rPr>
          <w:sz w:val="28"/>
          <w:szCs w:val="28"/>
          <w:lang w:val="en-US"/>
        </w:rPr>
      </w:r>
    </w:p>
    <w:p>
      <w:pPr>
        <w:pStyle w:val="Normal"/>
        <w:spacing w:lineRule="auto" w:line="360"/>
        <w:jc w:val="both"/>
        <w:rPr>
          <w:sz w:val="28"/>
          <w:szCs w:val="28"/>
        </w:rPr>
      </w:pPr>
      <w:r>
        <w:rPr>
          <w:sz w:val="28"/>
          <w:szCs w:val="28"/>
          <w:lang w:val="en-US"/>
        </w:rPr>
      </w:r>
    </w:p>
    <w:p>
      <w:pPr>
        <w:pStyle w:val="Normal"/>
        <w:spacing w:lineRule="auto" w:line="360"/>
        <w:jc w:val="center"/>
        <w:rPr>
          <w:sz w:val="28"/>
          <w:szCs w:val="28"/>
        </w:rPr>
      </w:pPr>
      <w:r>
        <w:rPr>
          <w:b/>
          <w:sz w:val="28"/>
          <w:szCs w:val="28"/>
        </w:rPr>
        <w:t>Контолна група „Б”</w:t>
      </w:r>
    </w:p>
    <w:tbl>
      <w:tblPr>
        <w:tblW w:w="9288" w:type="dxa"/>
        <w:jc w:val="left"/>
        <w:tblInd w:w="0" w:type="dxa"/>
        <w:tblLayout w:type="fixed"/>
        <w:tblCellMar>
          <w:top w:w="0" w:type="dxa"/>
          <w:left w:w="108" w:type="dxa"/>
          <w:bottom w:w="0" w:type="dxa"/>
          <w:right w:w="108" w:type="dxa"/>
        </w:tblCellMar>
      </w:tblPr>
      <w:tblGrid>
        <w:gridCol w:w="685"/>
        <w:gridCol w:w="642"/>
        <w:gridCol w:w="684"/>
        <w:gridCol w:w="647"/>
        <w:gridCol w:w="684"/>
        <w:gridCol w:w="642"/>
        <w:gridCol w:w="684"/>
        <w:gridCol w:w="642"/>
        <w:gridCol w:w="684"/>
        <w:gridCol w:w="642"/>
        <w:gridCol w:w="684"/>
        <w:gridCol w:w="642"/>
        <w:gridCol w:w="684"/>
        <w:gridCol w:w="642"/>
      </w:tblGrid>
      <w:tr>
        <w:trPr>
          <w:trHeight w:val="930" w:hRule="atLeast"/>
        </w:trPr>
        <w:tc>
          <w:tcPr>
            <w:tcW w:w="1327"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Величина на деформацията</w:t>
            </w:r>
          </w:p>
        </w:tc>
        <w:tc>
          <w:tcPr>
            <w:tcW w:w="1331"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Височина на кифозата</w:t>
            </w:r>
          </w:p>
        </w:tc>
        <w:tc>
          <w:tcPr>
            <w:tcW w:w="1326"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Подвижност по тест на Отт</w:t>
            </w:r>
          </w:p>
        </w:tc>
        <w:tc>
          <w:tcPr>
            <w:tcW w:w="1326"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Подвижност на гръдния кош по Хирц</w:t>
            </w:r>
          </w:p>
        </w:tc>
        <w:tc>
          <w:tcPr>
            <w:tcW w:w="1326"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Силова издръжливост на гръбната мускулатура</w:t>
            </w:r>
          </w:p>
        </w:tc>
        <w:tc>
          <w:tcPr>
            <w:tcW w:w="1326"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Силова издръжливост на коремната мускулатура</w:t>
            </w:r>
          </w:p>
        </w:tc>
        <w:tc>
          <w:tcPr>
            <w:tcW w:w="1326" w:type="dxa"/>
            <w:gridSpan w:val="2"/>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sz w:val="16"/>
                <w:szCs w:val="16"/>
              </w:rPr>
              <w:t>Комплексна оценка на скъсената ишиокрурална мускулатура</w:t>
            </w:r>
          </w:p>
        </w:tc>
      </w:tr>
      <w:tr>
        <w:trPr/>
        <w:tc>
          <w:tcPr>
            <w:tcW w:w="68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начало</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16"/>
                <w:szCs w:val="16"/>
              </w:rPr>
            </w:pPr>
            <w:r>
              <w:rPr>
                <w:sz w:val="16"/>
                <w:szCs w:val="16"/>
              </w:rPr>
              <w:t>край</w:t>
            </w:r>
          </w:p>
        </w:tc>
      </w:tr>
      <w:tr>
        <w:trPr/>
        <w:tc>
          <w:tcPr>
            <w:tcW w:w="68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28</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4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r>
      <w:tr>
        <w:trPr/>
        <w:tc>
          <w:tcPr>
            <w:tcW w:w="68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32</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34</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34</w:t>
            </w:r>
          </w:p>
        </w:tc>
        <w:tc>
          <w:tcPr>
            <w:tcW w:w="64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38”</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r>
      <w:tr>
        <w:trPr/>
        <w:tc>
          <w:tcPr>
            <w:tcW w:w="68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33</w:t>
            </w:r>
          </w:p>
        </w:tc>
        <w:tc>
          <w:tcPr>
            <w:tcW w:w="64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33,5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28”</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r>
      <w:tr>
        <w:trPr/>
        <w:tc>
          <w:tcPr>
            <w:tcW w:w="68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22</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22</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38</w:t>
            </w:r>
          </w:p>
        </w:tc>
        <w:tc>
          <w:tcPr>
            <w:tcW w:w="64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39</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r>
      <w:tr>
        <w:trPr/>
        <w:tc>
          <w:tcPr>
            <w:tcW w:w="68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37</w:t>
            </w:r>
          </w:p>
        </w:tc>
        <w:tc>
          <w:tcPr>
            <w:tcW w:w="64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38,5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2,8</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3,6</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28”</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w:t>
            </w:r>
          </w:p>
        </w:tc>
      </w:tr>
      <w:tr>
        <w:trPr/>
        <w:tc>
          <w:tcPr>
            <w:tcW w:w="68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28</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36</w:t>
            </w:r>
          </w:p>
        </w:tc>
        <w:tc>
          <w:tcPr>
            <w:tcW w:w="64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36</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8”</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22”</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r>
      <w:tr>
        <w:trPr/>
        <w:tc>
          <w:tcPr>
            <w:tcW w:w="685"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28</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28</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36</w:t>
            </w:r>
          </w:p>
        </w:tc>
        <w:tc>
          <w:tcPr>
            <w:tcW w:w="64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6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64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r>
    </w:tbl>
    <w:p>
      <w:pPr>
        <w:pStyle w:val="Normal"/>
        <w:spacing w:lineRule="auto" w:line="360"/>
        <w:jc w:val="both"/>
        <w:rPr>
          <w:sz w:val="28"/>
          <w:szCs w:val="28"/>
        </w:rPr>
      </w:pPr>
      <w:r>
        <w:rPr>
          <w:sz w:val="28"/>
          <w:szCs w:val="28"/>
        </w:rPr>
        <w:tab/>
        <w:tab/>
        <w:tab/>
        <w:tab/>
        <w:tab/>
        <w:tab/>
        <w:tab/>
        <w:tab/>
        <w:tab/>
        <w:t>Таблица №3</w:t>
      </w:r>
    </w:p>
    <w:p>
      <w:pPr>
        <w:pStyle w:val="Normal"/>
        <w:spacing w:lineRule="auto" w:line="360"/>
        <w:jc w:val="both"/>
        <w:rPr>
          <w:sz w:val="28"/>
          <w:szCs w:val="28"/>
        </w:rPr>
      </w:pPr>
      <w:r>
        <w:rPr>
          <w:sz w:val="28"/>
          <w:szCs w:val="28"/>
          <w:lang w:val="en-US"/>
        </w:rPr>
      </w:r>
    </w:p>
    <w:p>
      <w:pPr>
        <w:pStyle w:val="Normal"/>
        <w:spacing w:lineRule="auto" w:line="360"/>
        <w:jc w:val="both"/>
        <w:rPr>
          <w:sz w:val="28"/>
          <w:szCs w:val="28"/>
        </w:rPr>
      </w:pPr>
      <w:r>
        <w:rPr>
          <w:sz w:val="28"/>
          <w:szCs w:val="28"/>
          <w:lang w:val="en-US"/>
        </w:rPr>
      </w:r>
    </w:p>
    <w:p>
      <w:pPr>
        <w:pStyle w:val="Normal"/>
        <w:spacing w:lineRule="auto" w:line="360"/>
        <w:jc w:val="both"/>
        <w:rPr>
          <w:sz w:val="28"/>
          <w:szCs w:val="28"/>
        </w:rPr>
      </w:pPr>
      <w:r>
        <w:rPr>
          <w:sz w:val="28"/>
          <w:szCs w:val="28"/>
          <w:lang w:val="en-US"/>
        </w:rPr>
      </w:r>
    </w:p>
    <w:p>
      <w:pPr>
        <w:pStyle w:val="Normal"/>
        <w:spacing w:lineRule="auto" w:line="360"/>
        <w:jc w:val="center"/>
        <w:rPr>
          <w:sz w:val="28"/>
          <w:szCs w:val="28"/>
        </w:rPr>
      </w:pPr>
      <w:r>
        <w:rPr>
          <w:b/>
          <w:sz w:val="32"/>
          <w:szCs w:val="32"/>
          <w:lang w:val="en-US"/>
        </w:rPr>
        <w:t>6.2.</w:t>
      </w:r>
      <w:r>
        <w:rPr>
          <w:b/>
          <w:sz w:val="32"/>
          <w:szCs w:val="32"/>
        </w:rPr>
        <w:t>Обща статистическа обработка.</w:t>
      </w:r>
    </w:p>
    <w:p>
      <w:pPr>
        <w:pStyle w:val="Normal"/>
        <w:spacing w:lineRule="auto" w:line="360"/>
        <w:jc w:val="both"/>
        <w:rPr>
          <w:sz w:val="28"/>
          <w:szCs w:val="28"/>
        </w:rPr>
      </w:pPr>
      <w:r>
        <w:rPr>
          <w:sz w:val="28"/>
          <w:szCs w:val="28"/>
        </w:rPr>
        <w:t>Първоначално изготвихме таблици за вариационен анализ на работна група „А” с начални и крайни резултати на наблюдаваните показатели. Аналогично направихме таблици и за вариационен анализ на контролна група „Б”.</w:t>
      </w:r>
    </w:p>
    <w:p>
      <w:pPr>
        <w:pStyle w:val="Normal"/>
        <w:spacing w:lineRule="auto" w:line="360"/>
        <w:jc w:val="center"/>
        <w:rPr>
          <w:sz w:val="28"/>
          <w:szCs w:val="28"/>
        </w:rPr>
      </w:pPr>
      <w:r>
        <w:rPr>
          <w:b/>
          <w:sz w:val="28"/>
          <w:szCs w:val="28"/>
        </w:rPr>
        <w:t>Вариационен анализ на работна група „А”</w:t>
      </w:r>
    </w:p>
    <w:p>
      <w:pPr>
        <w:pStyle w:val="Normal"/>
        <w:spacing w:lineRule="auto" w:line="360"/>
        <w:jc w:val="center"/>
        <w:rPr>
          <w:sz w:val="28"/>
          <w:szCs w:val="28"/>
        </w:rPr>
      </w:pPr>
      <w:r>
        <w:rPr>
          <w:b/>
          <w:sz w:val="28"/>
          <w:szCs w:val="28"/>
        </w:rPr>
        <w:t>Начални резултати</w:t>
      </w:r>
    </w:p>
    <w:tbl>
      <w:tblPr>
        <w:tblW w:w="9340" w:type="dxa"/>
        <w:jc w:val="left"/>
        <w:tblInd w:w="0" w:type="dxa"/>
        <w:tblLayout w:type="fixed"/>
        <w:tblCellMar>
          <w:top w:w="0" w:type="dxa"/>
          <w:left w:w="108" w:type="dxa"/>
          <w:bottom w:w="0" w:type="dxa"/>
          <w:right w:w="108" w:type="dxa"/>
        </w:tblCellMar>
      </w:tblPr>
      <w:tblGrid>
        <w:gridCol w:w="467"/>
        <w:gridCol w:w="3961"/>
        <w:gridCol w:w="844"/>
        <w:gridCol w:w="728"/>
        <w:gridCol w:w="720"/>
        <w:gridCol w:w="820"/>
        <w:gridCol w:w="900"/>
        <w:gridCol w:w="900"/>
      </w:tblGrid>
      <w:tr>
        <w:trPr/>
        <w:tc>
          <w:tcPr>
            <w:tcW w:w="46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rPr>
            </w:pPr>
            <w:r>
              <w:rPr>
                <w:b/>
                <w:sz w:val="20"/>
                <w:szCs w:val="20"/>
              </w:rPr>
              <w:t>№</w:t>
            </w:r>
          </w:p>
        </w:tc>
        <w:tc>
          <w:tcPr>
            <w:tcW w:w="396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rPr>
            </w:pPr>
            <w:r>
              <w:rPr>
                <w:b/>
                <w:sz w:val="20"/>
                <w:szCs w:val="20"/>
              </w:rPr>
              <w:t>Стойности</w:t>
            </w:r>
          </w:p>
          <w:p>
            <w:pPr>
              <w:pStyle w:val="Normal"/>
              <w:spacing w:lineRule="auto" w:line="360"/>
              <w:jc w:val="center"/>
              <w:rPr>
                <w:b/>
                <w:sz w:val="20"/>
                <w:szCs w:val="20"/>
              </w:rPr>
            </w:pPr>
            <w:r>
              <w:rPr>
                <w:b/>
                <w:sz w:val="20"/>
                <w:szCs w:val="20"/>
              </w:rPr>
              <w:t>Показатели</w:t>
            </w:r>
          </w:p>
        </w:tc>
        <w:tc>
          <w:tcPr>
            <w:tcW w:w="84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b/>
                <w:sz w:val="20"/>
                <w:szCs w:val="20"/>
                <w:lang w:val="en-US"/>
              </w:rPr>
              <w:t>X min</w:t>
            </w:r>
          </w:p>
        </w:tc>
        <w:tc>
          <w:tcPr>
            <w:tcW w:w="72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Xmax</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R</w:t>
            </w:r>
          </w:p>
        </w:tc>
        <w:tc>
          <w:tcPr>
            <w:tcW w:w="8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X</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S</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V%</w:t>
            </w:r>
          </w:p>
        </w:tc>
      </w:tr>
      <w:tr>
        <w:trPr/>
        <w:tc>
          <w:tcPr>
            <w:tcW w:w="46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1</w:t>
            </w:r>
          </w:p>
        </w:tc>
        <w:tc>
          <w:tcPr>
            <w:tcW w:w="396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Величина на деформацията</w:t>
            </w:r>
          </w:p>
        </w:tc>
        <w:tc>
          <w:tcPr>
            <w:tcW w:w="84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lang w:val="en-US"/>
              </w:rPr>
              <w:t>20˚</w:t>
            </w:r>
          </w:p>
        </w:tc>
        <w:tc>
          <w:tcPr>
            <w:tcW w:w="72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r>
              <w:rPr>
                <w:sz w:val="20"/>
                <w:szCs w:val="20"/>
                <w:lang w:val="en-US"/>
              </w:rPr>
              <w:t>˚</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15</w:t>
            </w:r>
            <w:r>
              <w:rPr>
                <w:sz w:val="20"/>
                <w:szCs w:val="20"/>
                <w:lang w:val="en-US"/>
              </w:rPr>
              <w:t>˚</w:t>
            </w:r>
          </w:p>
        </w:tc>
        <w:tc>
          <w:tcPr>
            <w:tcW w:w="8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26,714</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5,648</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21,144</w:t>
            </w:r>
          </w:p>
        </w:tc>
      </w:tr>
      <w:tr>
        <w:trPr/>
        <w:tc>
          <w:tcPr>
            <w:tcW w:w="46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2</w:t>
            </w:r>
          </w:p>
        </w:tc>
        <w:tc>
          <w:tcPr>
            <w:tcW w:w="396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Височина на кифозата</w:t>
            </w:r>
          </w:p>
        </w:tc>
        <w:tc>
          <w:tcPr>
            <w:tcW w:w="84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lang w:val="en-US"/>
              </w:rPr>
              <w:t>25</w:t>
            </w:r>
            <w:r>
              <w:rPr>
                <w:sz w:val="20"/>
                <w:szCs w:val="20"/>
              </w:rPr>
              <w:t>см</w:t>
            </w:r>
          </w:p>
        </w:tc>
        <w:tc>
          <w:tcPr>
            <w:tcW w:w="72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37см</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12см</w:t>
            </w:r>
          </w:p>
        </w:tc>
        <w:tc>
          <w:tcPr>
            <w:tcW w:w="8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32</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4,243</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13,258</w:t>
            </w:r>
          </w:p>
        </w:tc>
      </w:tr>
      <w:tr>
        <w:trPr/>
        <w:tc>
          <w:tcPr>
            <w:tcW w:w="46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3</w:t>
            </w:r>
          </w:p>
        </w:tc>
        <w:tc>
          <w:tcPr>
            <w:tcW w:w="396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Подвижност по тест на Отт</w:t>
            </w:r>
          </w:p>
        </w:tc>
        <w:tc>
          <w:tcPr>
            <w:tcW w:w="84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0</w:t>
            </w:r>
            <w:r>
              <w:rPr>
                <w:sz w:val="20"/>
                <w:szCs w:val="20"/>
              </w:rPr>
              <w:t>,</w:t>
            </w:r>
            <w:r>
              <w:rPr>
                <w:sz w:val="20"/>
                <w:szCs w:val="20"/>
                <w:lang w:val="en-US"/>
              </w:rPr>
              <w:t>8</w:t>
            </w:r>
          </w:p>
        </w:tc>
        <w:tc>
          <w:tcPr>
            <w:tcW w:w="72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1,7</w:t>
            </w:r>
          </w:p>
        </w:tc>
        <w:tc>
          <w:tcPr>
            <w:tcW w:w="8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1,5</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0,62</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41,1</w:t>
            </w:r>
          </w:p>
        </w:tc>
      </w:tr>
      <w:tr>
        <w:trPr/>
        <w:tc>
          <w:tcPr>
            <w:tcW w:w="46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4</w:t>
            </w:r>
          </w:p>
        </w:tc>
        <w:tc>
          <w:tcPr>
            <w:tcW w:w="396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Подвижност на гръдния кош по Хирц</w:t>
            </w:r>
          </w:p>
        </w:tc>
        <w:tc>
          <w:tcPr>
            <w:tcW w:w="84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3см</w:t>
            </w:r>
          </w:p>
        </w:tc>
        <w:tc>
          <w:tcPr>
            <w:tcW w:w="72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5,5см</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2,5см</w:t>
            </w:r>
          </w:p>
        </w:tc>
        <w:tc>
          <w:tcPr>
            <w:tcW w:w="8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4,4см</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0,91</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20,58</w:t>
            </w:r>
          </w:p>
        </w:tc>
      </w:tr>
      <w:tr>
        <w:trPr/>
        <w:tc>
          <w:tcPr>
            <w:tcW w:w="46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5</w:t>
            </w:r>
          </w:p>
        </w:tc>
        <w:tc>
          <w:tcPr>
            <w:tcW w:w="396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Силова издръжливост на гръбната мускулатура</w:t>
            </w:r>
          </w:p>
        </w:tc>
        <w:tc>
          <w:tcPr>
            <w:tcW w:w="84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72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p>
        </w:tc>
        <w:tc>
          <w:tcPr>
            <w:tcW w:w="8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27,4</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11,13</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41</w:t>
            </w:r>
          </w:p>
        </w:tc>
      </w:tr>
      <w:tr>
        <w:trPr/>
        <w:tc>
          <w:tcPr>
            <w:tcW w:w="46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6</w:t>
            </w:r>
          </w:p>
        </w:tc>
        <w:tc>
          <w:tcPr>
            <w:tcW w:w="396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Силова издръжливост на коремната мускулатура</w:t>
            </w:r>
          </w:p>
        </w:tc>
        <w:tc>
          <w:tcPr>
            <w:tcW w:w="84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c>
          <w:tcPr>
            <w:tcW w:w="72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30”</w:t>
            </w:r>
          </w:p>
        </w:tc>
        <w:tc>
          <w:tcPr>
            <w:tcW w:w="8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18,29</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10,75</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58,79</w:t>
            </w:r>
          </w:p>
        </w:tc>
      </w:tr>
      <w:tr>
        <w:trPr/>
        <w:tc>
          <w:tcPr>
            <w:tcW w:w="467"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7</w:t>
            </w:r>
          </w:p>
        </w:tc>
        <w:tc>
          <w:tcPr>
            <w:tcW w:w="3961"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Комплексна оценка на скъсената ишиокрурална мускулатура</w:t>
            </w:r>
          </w:p>
        </w:tc>
        <w:tc>
          <w:tcPr>
            <w:tcW w:w="84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72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10</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8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6,67</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3,45</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51,72</w:t>
            </w:r>
          </w:p>
        </w:tc>
      </w:tr>
    </w:tbl>
    <w:p>
      <w:pPr>
        <w:pStyle w:val="Normal"/>
        <w:spacing w:lineRule="auto" w:line="360"/>
        <w:jc w:val="both"/>
        <w:rPr>
          <w:sz w:val="28"/>
          <w:szCs w:val="28"/>
        </w:rPr>
      </w:pPr>
      <w:r>
        <w:rPr>
          <w:sz w:val="28"/>
          <w:szCs w:val="28"/>
        </w:rPr>
        <w:tab/>
        <w:tab/>
        <w:tab/>
        <w:tab/>
        <w:tab/>
        <w:tab/>
        <w:tab/>
        <w:tab/>
        <w:tab/>
        <w:tab/>
        <w:t>Таблица №4</w:t>
      </w:r>
    </w:p>
    <w:p>
      <w:pPr>
        <w:pStyle w:val="Normal"/>
        <w:spacing w:lineRule="auto" w:line="360"/>
        <w:jc w:val="both"/>
        <w:rPr>
          <w:sz w:val="28"/>
          <w:szCs w:val="28"/>
        </w:rPr>
      </w:pPr>
      <w:r>
        <w:rPr>
          <w:sz w:val="28"/>
          <w:szCs w:val="28"/>
          <w:lang w:val="en-US"/>
        </w:rPr>
      </w:r>
    </w:p>
    <w:p>
      <w:pPr>
        <w:pStyle w:val="Normal"/>
        <w:spacing w:lineRule="auto" w:line="360"/>
        <w:jc w:val="center"/>
        <w:rPr>
          <w:sz w:val="28"/>
          <w:szCs w:val="28"/>
        </w:rPr>
      </w:pPr>
      <w:r>
        <w:rPr>
          <w:b/>
          <w:sz w:val="28"/>
          <w:szCs w:val="28"/>
        </w:rPr>
        <w:t>Вариационен анализ на работна група „А”</w:t>
      </w:r>
    </w:p>
    <w:p>
      <w:pPr>
        <w:pStyle w:val="Normal"/>
        <w:spacing w:lineRule="auto" w:line="360"/>
        <w:jc w:val="center"/>
        <w:rPr>
          <w:sz w:val="28"/>
          <w:szCs w:val="28"/>
        </w:rPr>
      </w:pPr>
      <w:r>
        <w:rPr>
          <w:b/>
          <w:sz w:val="28"/>
          <w:szCs w:val="28"/>
        </w:rPr>
        <w:t>Крайни резултати</w:t>
      </w:r>
    </w:p>
    <w:tbl>
      <w:tblPr>
        <w:tblW w:w="9288" w:type="dxa"/>
        <w:jc w:val="left"/>
        <w:tblInd w:w="0" w:type="dxa"/>
        <w:tblLayout w:type="fixed"/>
        <w:tblCellMar>
          <w:top w:w="0" w:type="dxa"/>
          <w:left w:w="108" w:type="dxa"/>
          <w:bottom w:w="0" w:type="dxa"/>
          <w:right w:w="108" w:type="dxa"/>
        </w:tblCellMar>
      </w:tblPr>
      <w:tblGrid>
        <w:gridCol w:w="468"/>
        <w:gridCol w:w="3600"/>
        <w:gridCol w:w="900"/>
        <w:gridCol w:w="900"/>
        <w:gridCol w:w="900"/>
        <w:gridCol w:w="720"/>
        <w:gridCol w:w="900"/>
        <w:gridCol w:w="900"/>
      </w:tblGrid>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rPr>
            </w:pPr>
            <w:r>
              <w:rPr>
                <w:b/>
                <w:sz w:val="20"/>
                <w:szCs w:val="20"/>
              </w:rPr>
              <w:t>№</w:t>
            </w:r>
          </w:p>
        </w:tc>
        <w:tc>
          <w:tcPr>
            <w:tcW w:w="36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rPr>
            </w:pPr>
            <w:r>
              <w:rPr>
                <w:b/>
                <w:sz w:val="20"/>
                <w:szCs w:val="20"/>
              </w:rPr>
              <w:t>Стойности</w:t>
            </w:r>
          </w:p>
          <w:p>
            <w:pPr>
              <w:pStyle w:val="Normal"/>
              <w:spacing w:lineRule="auto" w:line="360"/>
              <w:jc w:val="center"/>
              <w:rPr>
                <w:b/>
                <w:sz w:val="20"/>
                <w:szCs w:val="20"/>
              </w:rPr>
            </w:pPr>
            <w:r>
              <w:rPr>
                <w:b/>
                <w:sz w:val="20"/>
                <w:szCs w:val="20"/>
              </w:rPr>
              <w:t>Показатели</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pPr>
            <w:r>
              <w:rPr>
                <w:b/>
                <w:sz w:val="20"/>
                <w:szCs w:val="20"/>
                <w:lang w:val="en-US"/>
              </w:rPr>
              <w:t>X min</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Xmax</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R</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X</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S</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V%</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1</w:t>
            </w:r>
          </w:p>
        </w:tc>
        <w:tc>
          <w:tcPr>
            <w:tcW w:w="36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Величина на деформацията</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20</w:t>
            </w:r>
            <w:r>
              <w:rPr>
                <w:sz w:val="20"/>
                <w:szCs w:val="20"/>
                <w:lang w:val="en-US"/>
              </w:rPr>
              <w:t>˚</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w:t>
            </w:r>
            <w:r>
              <w:rPr>
                <w:sz w:val="20"/>
                <w:szCs w:val="20"/>
                <w:lang w:val="en-US"/>
              </w:rPr>
              <w:t>˚</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15</w:t>
            </w:r>
            <w:r>
              <w:rPr>
                <w:sz w:val="20"/>
                <w:szCs w:val="20"/>
                <w:lang w:val="en-US"/>
              </w:rPr>
              <w:t>˚</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25,28</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6,1</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24,13</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2</w:t>
            </w:r>
          </w:p>
        </w:tc>
        <w:tc>
          <w:tcPr>
            <w:tcW w:w="36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Височина на кифозата</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26 см</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38,5 см</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12,5 см</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32,86</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4,63</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14,1</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3</w:t>
            </w:r>
          </w:p>
        </w:tc>
        <w:tc>
          <w:tcPr>
            <w:tcW w:w="36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Подвижност по тест на Отт</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1,5 см</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 см</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1,5 см</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2,31</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0,51</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21,96</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4</w:t>
            </w:r>
          </w:p>
        </w:tc>
        <w:tc>
          <w:tcPr>
            <w:tcW w:w="36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Подвижност на гръдния кош по Хирц</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4,5 см</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7 см</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 см</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5,61</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0,93</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16,5</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5</w:t>
            </w:r>
          </w:p>
        </w:tc>
        <w:tc>
          <w:tcPr>
            <w:tcW w:w="36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Силова издръжливост на гръбната мускулатура</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75”</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50”</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47,86</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16,3</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34,05</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6</w:t>
            </w:r>
          </w:p>
        </w:tc>
        <w:tc>
          <w:tcPr>
            <w:tcW w:w="36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Силова издръжливост на коремната мускулатура</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48”</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23”</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35,14</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9,06</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25,79</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lang w:val="en-US"/>
              </w:rPr>
            </w:pPr>
            <w:r>
              <w:rPr>
                <w:sz w:val="20"/>
                <w:szCs w:val="20"/>
                <w:lang w:val="en-US"/>
              </w:rPr>
              <w:t>7</w:t>
            </w:r>
          </w:p>
        </w:tc>
        <w:tc>
          <w:tcPr>
            <w:tcW w:w="36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Комплексна оценка на скъсената ишиокрурална мускулатура</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0</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5</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1,67</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2,44</w:t>
            </w:r>
          </w:p>
        </w:tc>
        <w:tc>
          <w:tcPr>
            <w:tcW w:w="9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146,1</w:t>
            </w:r>
          </w:p>
        </w:tc>
      </w:tr>
    </w:tbl>
    <w:p>
      <w:pPr>
        <w:pStyle w:val="Normal"/>
        <w:spacing w:lineRule="auto" w:line="360"/>
        <w:ind w:right="-108" w:hanging="0"/>
        <w:jc w:val="both"/>
        <w:rPr>
          <w:sz w:val="28"/>
          <w:szCs w:val="28"/>
        </w:rPr>
      </w:pPr>
      <w:r>
        <w:rPr>
          <w:sz w:val="28"/>
          <w:szCs w:val="28"/>
        </w:rPr>
        <w:tab/>
        <w:tab/>
        <w:tab/>
        <w:tab/>
        <w:tab/>
        <w:tab/>
        <w:tab/>
        <w:tab/>
        <w:tab/>
        <w:tab/>
        <w:t>Таблица №</w:t>
      </w:r>
      <w:r>
        <w:rPr>
          <w:sz w:val="28"/>
          <w:szCs w:val="28"/>
          <w:lang w:val="en-US"/>
        </w:rPr>
        <w:t>5</w:t>
      </w:r>
    </w:p>
    <w:p>
      <w:pPr>
        <w:pStyle w:val="Normal"/>
        <w:spacing w:lineRule="auto" w:line="360"/>
        <w:jc w:val="both"/>
        <w:rPr>
          <w:sz w:val="28"/>
          <w:szCs w:val="28"/>
        </w:rPr>
      </w:pPr>
      <w:r>
        <w:rPr>
          <w:sz w:val="28"/>
          <w:szCs w:val="28"/>
          <w:lang w:val="en-US"/>
        </w:rPr>
      </w:r>
    </w:p>
    <w:p>
      <w:pPr>
        <w:pStyle w:val="Normal"/>
        <w:spacing w:lineRule="auto" w:line="360"/>
        <w:jc w:val="both"/>
        <w:rPr>
          <w:sz w:val="28"/>
          <w:szCs w:val="28"/>
        </w:rPr>
      </w:pPr>
      <w:r>
        <w:rPr>
          <w:sz w:val="28"/>
          <w:szCs w:val="28"/>
          <w:lang w:val="en-US"/>
        </w:rPr>
      </w:r>
    </w:p>
    <w:p>
      <w:pPr>
        <w:pStyle w:val="Normal"/>
        <w:spacing w:lineRule="auto" w:line="360"/>
        <w:jc w:val="both"/>
        <w:rPr>
          <w:sz w:val="28"/>
          <w:szCs w:val="28"/>
        </w:rPr>
      </w:pPr>
      <w:r>
        <w:rPr>
          <w:sz w:val="28"/>
          <w:szCs w:val="28"/>
          <w:lang w:val="en-US"/>
        </w:rPr>
      </w:r>
    </w:p>
    <w:p>
      <w:pPr>
        <w:pStyle w:val="Normal"/>
        <w:spacing w:lineRule="auto" w:line="360"/>
        <w:jc w:val="center"/>
        <w:rPr>
          <w:sz w:val="28"/>
          <w:szCs w:val="28"/>
        </w:rPr>
      </w:pPr>
      <w:r>
        <w:rPr>
          <w:b/>
          <w:sz w:val="28"/>
          <w:szCs w:val="28"/>
        </w:rPr>
        <w:t>Вариационен анализ на конролна група „Б”</w:t>
      </w:r>
    </w:p>
    <w:p>
      <w:pPr>
        <w:pStyle w:val="Normal"/>
        <w:spacing w:lineRule="auto" w:line="360"/>
        <w:jc w:val="center"/>
        <w:rPr>
          <w:sz w:val="28"/>
          <w:szCs w:val="28"/>
        </w:rPr>
      </w:pPr>
      <w:r>
        <w:rPr/>
        <w:t>Начални резултати</w:t>
      </w:r>
    </w:p>
    <w:tbl>
      <w:tblPr>
        <w:tblW w:w="9052" w:type="dxa"/>
        <w:jc w:val="left"/>
        <w:tblInd w:w="0" w:type="dxa"/>
        <w:tblLayout w:type="fixed"/>
        <w:tblCellMar>
          <w:top w:w="0" w:type="dxa"/>
          <w:left w:w="108" w:type="dxa"/>
          <w:bottom w:w="0" w:type="dxa"/>
          <w:right w:w="108" w:type="dxa"/>
        </w:tblCellMar>
      </w:tblPr>
      <w:tblGrid>
        <w:gridCol w:w="468"/>
        <w:gridCol w:w="3600"/>
        <w:gridCol w:w="720"/>
        <w:gridCol w:w="728"/>
        <w:gridCol w:w="712"/>
        <w:gridCol w:w="720"/>
        <w:gridCol w:w="720"/>
        <w:gridCol w:w="1384"/>
      </w:tblGrid>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rPr>
            </w:pPr>
            <w:r>
              <w:rPr>
                <w:b/>
                <w:sz w:val="20"/>
                <w:szCs w:val="20"/>
              </w:rPr>
              <w:t>№</w:t>
            </w:r>
          </w:p>
        </w:tc>
        <w:tc>
          <w:tcPr>
            <w:tcW w:w="36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rPr>
            </w:pPr>
            <w:r>
              <w:rPr>
                <w:b/>
                <w:sz w:val="20"/>
                <w:szCs w:val="20"/>
              </w:rPr>
              <w:t>Стойности</w:t>
            </w:r>
          </w:p>
          <w:p>
            <w:pPr>
              <w:pStyle w:val="Normal"/>
              <w:spacing w:lineRule="auto" w:line="360"/>
              <w:jc w:val="center"/>
              <w:rPr>
                <w:b/>
                <w:sz w:val="20"/>
                <w:szCs w:val="20"/>
              </w:rPr>
            </w:pPr>
            <w:r>
              <w:rPr>
                <w:b/>
                <w:sz w:val="20"/>
                <w:szCs w:val="20"/>
              </w:rPr>
              <w:t>Показатели</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X mn</w:t>
            </w:r>
          </w:p>
        </w:tc>
        <w:tc>
          <w:tcPr>
            <w:tcW w:w="72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Xmax</w:t>
            </w:r>
          </w:p>
        </w:tc>
        <w:tc>
          <w:tcPr>
            <w:tcW w:w="71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R</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X</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S</w:t>
            </w:r>
          </w:p>
        </w:tc>
        <w:tc>
          <w:tcPr>
            <w:tcW w:w="138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V%</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1</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Величина на деформацията</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20</w:t>
            </w:r>
            <w:r>
              <w:rPr>
                <w:sz w:val="20"/>
                <w:szCs w:val="20"/>
                <w:lang w:val="en-US"/>
              </w:rPr>
              <w:t>˚</w:t>
            </w:r>
          </w:p>
        </w:tc>
        <w:tc>
          <w:tcPr>
            <w:tcW w:w="72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32</w:t>
            </w:r>
            <w:r>
              <w:rPr>
                <w:sz w:val="20"/>
                <w:szCs w:val="20"/>
                <w:lang w:val="en-US"/>
              </w:rPr>
              <w:t>˚</w:t>
            </w:r>
          </w:p>
        </w:tc>
        <w:tc>
          <w:tcPr>
            <w:tcW w:w="71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12</w:t>
            </w:r>
            <w:r>
              <w:rPr>
                <w:sz w:val="20"/>
                <w:szCs w:val="20"/>
                <w:lang w:val="en-US"/>
              </w:rPr>
              <w:t>˚</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26</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4,28</w:t>
            </w:r>
          </w:p>
        </w:tc>
        <w:tc>
          <w:tcPr>
            <w:tcW w:w="138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16,47</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2</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Височина на кифозата</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30 см</w:t>
            </w:r>
          </w:p>
        </w:tc>
        <w:tc>
          <w:tcPr>
            <w:tcW w:w="72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38 см</w:t>
            </w:r>
          </w:p>
        </w:tc>
        <w:tc>
          <w:tcPr>
            <w:tcW w:w="71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5 см</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35,57</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1,72</w:t>
            </w:r>
          </w:p>
        </w:tc>
        <w:tc>
          <w:tcPr>
            <w:tcW w:w="138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4,83</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3</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Подвижност по тест на Отт</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0 см</w:t>
            </w:r>
          </w:p>
        </w:tc>
        <w:tc>
          <w:tcPr>
            <w:tcW w:w="72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 см</w:t>
            </w:r>
          </w:p>
        </w:tc>
        <w:tc>
          <w:tcPr>
            <w:tcW w:w="71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 см</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1,14</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0,75</w:t>
            </w:r>
          </w:p>
        </w:tc>
        <w:tc>
          <w:tcPr>
            <w:tcW w:w="138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65,45</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4</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Подвижност на гръдния кош по Хирц</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2,5 см</w:t>
            </w:r>
          </w:p>
        </w:tc>
        <w:tc>
          <w:tcPr>
            <w:tcW w:w="72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4,5 см</w:t>
            </w:r>
          </w:p>
        </w:tc>
        <w:tc>
          <w:tcPr>
            <w:tcW w:w="71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 см</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3,33</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0,71</w:t>
            </w:r>
          </w:p>
        </w:tc>
        <w:tc>
          <w:tcPr>
            <w:tcW w:w="138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21,36</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5</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Силова издръжливост на гръбната мускулатура</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5”</w:t>
            </w:r>
          </w:p>
        </w:tc>
        <w:tc>
          <w:tcPr>
            <w:tcW w:w="72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38”</w:t>
            </w:r>
          </w:p>
        </w:tc>
        <w:tc>
          <w:tcPr>
            <w:tcW w:w="71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33”</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19,43</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14,06</w:t>
            </w:r>
          </w:p>
        </w:tc>
        <w:tc>
          <w:tcPr>
            <w:tcW w:w="138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72,36</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6</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Силова издръжливост на коремната мускулатура</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0”</w:t>
            </w:r>
          </w:p>
        </w:tc>
        <w:tc>
          <w:tcPr>
            <w:tcW w:w="72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30”</w:t>
            </w:r>
          </w:p>
        </w:tc>
        <w:tc>
          <w:tcPr>
            <w:tcW w:w="71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30”</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13,28</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9,6</w:t>
            </w:r>
          </w:p>
        </w:tc>
        <w:tc>
          <w:tcPr>
            <w:tcW w:w="138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72,29</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7</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Комплексна оценка на скъсената ишиокрурална мускулатура</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5</w:t>
            </w:r>
          </w:p>
        </w:tc>
        <w:tc>
          <w:tcPr>
            <w:tcW w:w="72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10</w:t>
            </w:r>
          </w:p>
        </w:tc>
        <w:tc>
          <w:tcPr>
            <w:tcW w:w="71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5</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6,43</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2,44</w:t>
            </w:r>
          </w:p>
        </w:tc>
        <w:tc>
          <w:tcPr>
            <w:tcW w:w="138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37,94</w:t>
            </w:r>
          </w:p>
        </w:tc>
      </w:tr>
    </w:tbl>
    <w:p>
      <w:pPr>
        <w:pStyle w:val="Normal"/>
        <w:spacing w:lineRule="auto" w:line="360"/>
        <w:jc w:val="both"/>
        <w:rPr>
          <w:sz w:val="28"/>
          <w:szCs w:val="28"/>
        </w:rPr>
      </w:pPr>
      <w:r>
        <w:rPr>
          <w:sz w:val="28"/>
          <w:szCs w:val="28"/>
        </w:rPr>
        <w:tab/>
        <w:tab/>
        <w:tab/>
        <w:tab/>
        <w:tab/>
        <w:tab/>
        <w:tab/>
        <w:tab/>
        <w:tab/>
        <w:t>Таблица №</w:t>
      </w:r>
      <w:r>
        <w:rPr>
          <w:sz w:val="28"/>
          <w:szCs w:val="28"/>
          <w:lang w:val="en-US"/>
        </w:rPr>
        <w:t>6</w:t>
      </w:r>
    </w:p>
    <w:p>
      <w:pPr>
        <w:pStyle w:val="Normal"/>
        <w:spacing w:lineRule="auto" w:line="360"/>
        <w:jc w:val="both"/>
        <w:rPr>
          <w:sz w:val="28"/>
          <w:szCs w:val="28"/>
        </w:rPr>
      </w:pPr>
      <w:r>
        <w:rPr>
          <w:sz w:val="28"/>
          <w:szCs w:val="28"/>
          <w:lang w:val="en-US"/>
        </w:rPr>
      </w:r>
    </w:p>
    <w:p>
      <w:pPr>
        <w:pStyle w:val="Normal"/>
        <w:spacing w:lineRule="auto" w:line="360"/>
        <w:jc w:val="both"/>
        <w:rPr>
          <w:sz w:val="28"/>
          <w:szCs w:val="28"/>
        </w:rPr>
      </w:pPr>
      <w:r>
        <w:rPr>
          <w:sz w:val="28"/>
          <w:szCs w:val="28"/>
        </w:rPr>
      </w:r>
    </w:p>
    <w:p>
      <w:pPr>
        <w:pStyle w:val="Normal"/>
        <w:spacing w:lineRule="auto" w:line="360"/>
        <w:jc w:val="center"/>
        <w:rPr>
          <w:sz w:val="28"/>
          <w:szCs w:val="28"/>
        </w:rPr>
      </w:pPr>
      <w:r>
        <w:rPr>
          <w:b/>
          <w:sz w:val="28"/>
          <w:szCs w:val="28"/>
        </w:rPr>
        <w:t>Вариационен анализ на конролна група „Б”</w:t>
      </w:r>
    </w:p>
    <w:p>
      <w:pPr>
        <w:pStyle w:val="Normal"/>
        <w:spacing w:lineRule="auto" w:line="360"/>
        <w:jc w:val="center"/>
        <w:rPr>
          <w:sz w:val="28"/>
          <w:szCs w:val="28"/>
        </w:rPr>
      </w:pPr>
      <w:r>
        <w:rPr/>
        <w:t>Крайни резултати</w:t>
      </w:r>
    </w:p>
    <w:tbl>
      <w:tblPr>
        <w:tblW w:w="8928" w:type="dxa"/>
        <w:jc w:val="left"/>
        <w:tblInd w:w="0" w:type="dxa"/>
        <w:tblLayout w:type="fixed"/>
        <w:tblCellMar>
          <w:top w:w="0" w:type="dxa"/>
          <w:left w:w="108" w:type="dxa"/>
          <w:bottom w:w="0" w:type="dxa"/>
          <w:right w:w="108" w:type="dxa"/>
        </w:tblCellMar>
      </w:tblPr>
      <w:tblGrid>
        <w:gridCol w:w="468"/>
        <w:gridCol w:w="3600"/>
        <w:gridCol w:w="1080"/>
        <w:gridCol w:w="908"/>
        <w:gridCol w:w="892"/>
        <w:gridCol w:w="694"/>
        <w:gridCol w:w="566"/>
        <w:gridCol w:w="720"/>
      </w:tblGrid>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rPr>
            </w:pPr>
            <w:r>
              <w:rPr>
                <w:b/>
                <w:sz w:val="20"/>
                <w:szCs w:val="20"/>
              </w:rPr>
              <w:t>№</w:t>
            </w:r>
          </w:p>
        </w:tc>
        <w:tc>
          <w:tcPr>
            <w:tcW w:w="360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rPr>
            </w:pPr>
            <w:r>
              <w:rPr>
                <w:b/>
                <w:sz w:val="20"/>
                <w:szCs w:val="20"/>
              </w:rPr>
              <w:t>Стойности</w:t>
            </w:r>
          </w:p>
          <w:p>
            <w:pPr>
              <w:pStyle w:val="Normal"/>
              <w:spacing w:lineRule="auto" w:line="360"/>
              <w:jc w:val="center"/>
              <w:rPr>
                <w:b/>
                <w:sz w:val="20"/>
                <w:szCs w:val="20"/>
              </w:rPr>
            </w:pPr>
            <w:r>
              <w:rPr>
                <w:b/>
                <w:sz w:val="20"/>
                <w:szCs w:val="20"/>
              </w:rPr>
              <w:t>Показатели</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X mn</w:t>
            </w:r>
          </w:p>
        </w:tc>
        <w:tc>
          <w:tcPr>
            <w:tcW w:w="908"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Xmax</w:t>
            </w:r>
          </w:p>
        </w:tc>
        <w:tc>
          <w:tcPr>
            <w:tcW w:w="892"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R</w:t>
            </w:r>
          </w:p>
        </w:tc>
        <w:tc>
          <w:tcPr>
            <w:tcW w:w="694"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X</w:t>
            </w:r>
          </w:p>
        </w:tc>
        <w:tc>
          <w:tcPr>
            <w:tcW w:w="566"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S</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lang w:val="en-US"/>
              </w:rPr>
            </w:pPr>
            <w:r>
              <w:rPr>
                <w:b/>
                <w:sz w:val="20"/>
                <w:szCs w:val="20"/>
                <w:lang w:val="en-US"/>
              </w:rPr>
              <w:t>V%</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1</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Величина на деформацията</w:t>
            </w:r>
          </w:p>
        </w:tc>
        <w:tc>
          <w:tcPr>
            <w:tcW w:w="108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20</w:t>
            </w:r>
            <w:r>
              <w:rPr>
                <w:sz w:val="20"/>
                <w:szCs w:val="20"/>
                <w:lang w:val="en-US"/>
              </w:rPr>
              <w:t>˚</w:t>
            </w:r>
          </w:p>
        </w:tc>
        <w:tc>
          <w:tcPr>
            <w:tcW w:w="90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34</w:t>
            </w:r>
            <w:r>
              <w:rPr>
                <w:sz w:val="20"/>
                <w:szCs w:val="20"/>
                <w:lang w:val="en-US"/>
              </w:rPr>
              <w:t>˚</w:t>
            </w:r>
          </w:p>
        </w:tc>
        <w:tc>
          <w:tcPr>
            <w:tcW w:w="89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14</w:t>
            </w:r>
            <w:r>
              <w:rPr>
                <w:sz w:val="20"/>
                <w:szCs w:val="20"/>
                <w:lang w:val="en-US"/>
              </w:rPr>
              <w:t>˚</w:t>
            </w:r>
          </w:p>
        </w:tc>
        <w:tc>
          <w:tcPr>
            <w:tcW w:w="69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26,43</w:t>
            </w:r>
          </w:p>
        </w:tc>
        <w:tc>
          <w:tcPr>
            <w:tcW w:w="566"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4,61</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17,46</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2</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Височина на кифозата</w:t>
            </w:r>
          </w:p>
        </w:tc>
        <w:tc>
          <w:tcPr>
            <w:tcW w:w="108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33,5 см</w:t>
            </w:r>
          </w:p>
        </w:tc>
        <w:tc>
          <w:tcPr>
            <w:tcW w:w="90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39 см</w:t>
            </w:r>
          </w:p>
        </w:tc>
        <w:tc>
          <w:tcPr>
            <w:tcW w:w="89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5,5 см</w:t>
            </w:r>
          </w:p>
        </w:tc>
        <w:tc>
          <w:tcPr>
            <w:tcW w:w="69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36,21</w:t>
            </w:r>
          </w:p>
        </w:tc>
        <w:tc>
          <w:tcPr>
            <w:tcW w:w="566"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1,93</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5,34</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3</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Подвижност по тест на Отт</w:t>
            </w:r>
          </w:p>
        </w:tc>
        <w:tc>
          <w:tcPr>
            <w:tcW w:w="108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0 см</w:t>
            </w:r>
          </w:p>
        </w:tc>
        <w:tc>
          <w:tcPr>
            <w:tcW w:w="90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 см</w:t>
            </w:r>
          </w:p>
        </w:tc>
        <w:tc>
          <w:tcPr>
            <w:tcW w:w="89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 см</w:t>
            </w:r>
          </w:p>
        </w:tc>
        <w:tc>
          <w:tcPr>
            <w:tcW w:w="69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1,21</w:t>
            </w:r>
          </w:p>
        </w:tc>
        <w:tc>
          <w:tcPr>
            <w:tcW w:w="566"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0,99</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81,86</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4</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Подвижност на гръдния кош по Хирц</w:t>
            </w:r>
          </w:p>
        </w:tc>
        <w:tc>
          <w:tcPr>
            <w:tcW w:w="108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2,5 см</w:t>
            </w:r>
          </w:p>
        </w:tc>
        <w:tc>
          <w:tcPr>
            <w:tcW w:w="90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4,5 см</w:t>
            </w:r>
          </w:p>
        </w:tc>
        <w:tc>
          <w:tcPr>
            <w:tcW w:w="89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 см</w:t>
            </w:r>
          </w:p>
        </w:tc>
        <w:tc>
          <w:tcPr>
            <w:tcW w:w="69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3,59</w:t>
            </w:r>
          </w:p>
        </w:tc>
        <w:tc>
          <w:tcPr>
            <w:tcW w:w="566"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0,73</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20,39</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5</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Силова издръжливост на гръбната мускулатура</w:t>
            </w:r>
          </w:p>
        </w:tc>
        <w:tc>
          <w:tcPr>
            <w:tcW w:w="108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20”</w:t>
            </w:r>
          </w:p>
        </w:tc>
        <w:tc>
          <w:tcPr>
            <w:tcW w:w="90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45”</w:t>
            </w:r>
          </w:p>
        </w:tc>
        <w:tc>
          <w:tcPr>
            <w:tcW w:w="89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25”</w:t>
            </w:r>
          </w:p>
        </w:tc>
        <w:tc>
          <w:tcPr>
            <w:tcW w:w="69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34,29</w:t>
            </w:r>
          </w:p>
        </w:tc>
        <w:tc>
          <w:tcPr>
            <w:tcW w:w="566"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9,76</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28,46</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6</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Силова издръжливост на коремната мускулатура</w:t>
            </w:r>
          </w:p>
        </w:tc>
        <w:tc>
          <w:tcPr>
            <w:tcW w:w="108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20”</w:t>
            </w:r>
          </w:p>
        </w:tc>
        <w:tc>
          <w:tcPr>
            <w:tcW w:w="90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45”</w:t>
            </w:r>
          </w:p>
        </w:tc>
        <w:tc>
          <w:tcPr>
            <w:tcW w:w="89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25”</w:t>
            </w:r>
          </w:p>
        </w:tc>
        <w:tc>
          <w:tcPr>
            <w:tcW w:w="69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29,29</w:t>
            </w:r>
          </w:p>
        </w:tc>
        <w:tc>
          <w:tcPr>
            <w:tcW w:w="566"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8,56</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29,22</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lang w:val="en-US"/>
              </w:rPr>
            </w:pPr>
            <w:r>
              <w:rPr>
                <w:sz w:val="20"/>
                <w:szCs w:val="20"/>
                <w:lang w:val="en-US"/>
              </w:rPr>
              <w:t>7</w:t>
            </w:r>
          </w:p>
        </w:tc>
        <w:tc>
          <w:tcPr>
            <w:tcW w:w="360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Комплексна оценка на скъсената ишиокрурална мускулатура</w:t>
            </w:r>
          </w:p>
        </w:tc>
        <w:tc>
          <w:tcPr>
            <w:tcW w:w="108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0</w:t>
            </w:r>
          </w:p>
        </w:tc>
        <w:tc>
          <w:tcPr>
            <w:tcW w:w="90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5</w:t>
            </w:r>
          </w:p>
        </w:tc>
        <w:tc>
          <w:tcPr>
            <w:tcW w:w="892"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5</w:t>
            </w:r>
          </w:p>
        </w:tc>
        <w:tc>
          <w:tcPr>
            <w:tcW w:w="694"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2,14</w:t>
            </w:r>
          </w:p>
        </w:tc>
        <w:tc>
          <w:tcPr>
            <w:tcW w:w="566"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2,67</w:t>
            </w:r>
          </w:p>
        </w:tc>
        <w:tc>
          <w:tcPr>
            <w:tcW w:w="7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124,8</w:t>
            </w:r>
          </w:p>
        </w:tc>
      </w:tr>
    </w:tbl>
    <w:p>
      <w:pPr>
        <w:pStyle w:val="Normal"/>
        <w:spacing w:lineRule="auto" w:line="360"/>
        <w:jc w:val="both"/>
        <w:rPr>
          <w:sz w:val="28"/>
          <w:szCs w:val="28"/>
        </w:rPr>
      </w:pPr>
      <w:r>
        <w:rPr>
          <w:sz w:val="28"/>
          <w:szCs w:val="28"/>
        </w:rPr>
        <w:tab/>
        <w:tab/>
        <w:tab/>
        <w:tab/>
        <w:tab/>
        <w:tab/>
        <w:tab/>
        <w:tab/>
        <w:tab/>
        <w:t>Таблица №</w:t>
      </w:r>
      <w:r>
        <w:rPr>
          <w:sz w:val="28"/>
          <w:szCs w:val="28"/>
          <w:lang w:val="en-US"/>
        </w:rPr>
        <w:t>7</w:t>
      </w:r>
    </w:p>
    <w:p>
      <w:pPr>
        <w:pStyle w:val="Normal"/>
        <w:spacing w:lineRule="auto" w:line="360"/>
        <w:jc w:val="both"/>
        <w:rPr>
          <w:sz w:val="28"/>
          <w:szCs w:val="28"/>
        </w:rPr>
      </w:pPr>
      <w:r>
        <w:rPr>
          <w:sz w:val="28"/>
          <w:szCs w:val="28"/>
          <w:lang w:val="en-US"/>
        </w:rPr>
      </w:r>
    </w:p>
    <w:p>
      <w:pPr>
        <w:pStyle w:val="PlainText"/>
        <w:spacing w:lineRule="auto" w:line="360"/>
        <w:ind w:firstLine="708"/>
        <w:rPr>
          <w:sz w:val="28"/>
          <w:szCs w:val="28"/>
        </w:rPr>
      </w:pPr>
      <w:r>
        <w:rPr>
          <w:rFonts w:cs="Times New Roman" w:ascii="Times New Roman" w:hAnsi="Times New Roman"/>
          <w:sz w:val="28"/>
          <w:szCs w:val="28"/>
        </w:rPr>
        <w:t xml:space="preserve">Може да се отбележи, че показателите за силова издържливост на гръбна и коремна мускулатура (съответно в 10 сек. На 25сек. – за Х </w:t>
      </w:r>
      <w:r>
        <w:rPr>
          <w:rFonts w:cs="Times New Roman" w:ascii="Times New Roman" w:hAnsi="Times New Roman"/>
          <w:sz w:val="28"/>
          <w:szCs w:val="28"/>
          <w:lang w:val="en-US"/>
        </w:rPr>
        <w:t>min</w:t>
      </w:r>
      <w:r>
        <w:rPr>
          <w:rFonts w:cs="Times New Roman" w:ascii="Times New Roman" w:hAnsi="Times New Roman"/>
          <w:sz w:val="28"/>
          <w:szCs w:val="28"/>
        </w:rPr>
        <w:t>; и от 45сек. на 75сек. за Х</w:t>
      </w:r>
      <w:r>
        <w:rPr>
          <w:rFonts w:cs="Times New Roman" w:ascii="Times New Roman" w:hAnsi="Times New Roman"/>
          <w:sz w:val="28"/>
          <w:szCs w:val="28"/>
          <w:lang w:val="en-US"/>
        </w:rPr>
        <w:t xml:space="preserve"> max.</w:t>
      </w:r>
      <w:r>
        <w:rPr>
          <w:rFonts w:cs="Times New Roman" w:ascii="Times New Roman" w:hAnsi="Times New Roman"/>
          <w:sz w:val="28"/>
          <w:szCs w:val="28"/>
        </w:rPr>
        <w:t xml:space="preserve"> при гръбна и от 0сек. на 25сек. за Х </w:t>
      </w:r>
      <w:r>
        <w:rPr>
          <w:rFonts w:cs="Times New Roman" w:ascii="Times New Roman" w:hAnsi="Times New Roman"/>
          <w:sz w:val="28"/>
          <w:szCs w:val="28"/>
          <w:lang w:val="en-US"/>
        </w:rPr>
        <w:t>min</w:t>
      </w:r>
      <w:r>
        <w:rPr>
          <w:rFonts w:cs="Times New Roman" w:ascii="Times New Roman" w:hAnsi="Times New Roman"/>
          <w:sz w:val="28"/>
          <w:szCs w:val="28"/>
        </w:rPr>
        <w:t xml:space="preserve"> и от 30сек. – на 48сек. за Х</w:t>
      </w:r>
      <w:r>
        <w:rPr>
          <w:rFonts w:cs="Times New Roman" w:ascii="Times New Roman" w:hAnsi="Times New Roman"/>
          <w:sz w:val="28"/>
          <w:szCs w:val="28"/>
          <w:lang w:val="en-US"/>
        </w:rPr>
        <w:t xml:space="preserve"> max</w:t>
      </w:r>
      <w:r>
        <w:rPr>
          <w:rFonts w:cs="Times New Roman" w:ascii="Times New Roman" w:hAnsi="Times New Roman"/>
          <w:sz w:val="28"/>
          <w:szCs w:val="28"/>
        </w:rPr>
        <w:t xml:space="preserve"> за коремна) група „А” и съответно средната аритметична Х на</w:t>
      </w:r>
      <w:r>
        <w:rPr>
          <w:rFonts w:cs="Times New Roman" w:ascii="Times New Roman" w:hAnsi="Times New Roman"/>
          <w:sz w:val="28"/>
          <w:szCs w:val="28"/>
          <w:lang w:val="ru-RU"/>
        </w:rPr>
        <w:t xml:space="preserve"> тези показатели е с най-голяма разлика. Резултатите от група „Б" в общи линии са аналогични (напр. х от 13,43 сек. на 34,23 сек. за гръбна; и от 13,28 сек. на 29,29 сек. за коремна мускулатура).</w:t>
      </w:r>
    </w:p>
    <w:p>
      <w:pPr>
        <w:pStyle w:val="PlainText"/>
        <w:spacing w:lineRule="auto" w:line="360"/>
        <w:jc w:val="both"/>
        <w:rPr>
          <w:sz w:val="28"/>
          <w:szCs w:val="28"/>
        </w:rPr>
      </w:pPr>
      <w:r>
        <w:rPr>
          <w:rFonts w:cs="Times New Roman" w:ascii="Times New Roman" w:hAnsi="Times New Roman"/>
          <w:sz w:val="28"/>
          <w:szCs w:val="28"/>
          <w:lang w:val="ru-RU"/>
        </w:rPr>
        <w:t>За други три показателя: подвижност на гръдния кош по Хирц, подвижност по тест на Отт и</w:t>
      </w:r>
      <w:r>
        <w:rPr/>
        <w:t xml:space="preserve"> </w:t>
      </w:r>
      <w:r>
        <w:rPr>
          <w:rFonts w:cs="Times New Roman" w:ascii="Times New Roman" w:hAnsi="Times New Roman"/>
          <w:sz w:val="28"/>
          <w:szCs w:val="28"/>
        </w:rPr>
        <w:t>комплексна оценка на скъсена ишиокрурална мускулатура</w:t>
      </w:r>
      <w:r>
        <w:rPr>
          <w:rFonts w:cs="Times New Roman" w:ascii="Times New Roman" w:hAnsi="Times New Roman"/>
          <w:sz w:val="28"/>
          <w:szCs w:val="28"/>
          <w:lang w:val="ru-RU"/>
        </w:rPr>
        <w:t xml:space="preserve"> се наблюдава също подобрение в стойностите от началните към крайните резултати. При изследването височината на кифозата и величината на деформацията в началните и крайните резултати почти няма промени. За х - величина на деформацията от 26,0° на 26,4° за група Б и от 26,7° на 25,3° за група А.</w:t>
      </w:r>
    </w:p>
    <w:p>
      <w:pPr>
        <w:pStyle w:val="PlainText"/>
        <w:spacing w:lineRule="auto" w:line="360"/>
        <w:jc w:val="both"/>
        <w:rPr>
          <w:sz w:val="28"/>
          <w:szCs w:val="28"/>
        </w:rPr>
      </w:pPr>
      <w:r>
        <w:rPr>
          <w:rFonts w:cs="Times New Roman" w:ascii="Times New Roman" w:hAnsi="Times New Roman"/>
          <w:sz w:val="28"/>
          <w:szCs w:val="28"/>
          <w:lang w:val="ru-RU"/>
        </w:rPr>
        <w:t xml:space="preserve">По отношение на коефициента на вариация V% се забелязва следното: за показателите височина на кифозата, подвижност на гръдния кош по Хирц и величина на деформацията там е под 30%, т.е. изследваните лица са еднородни. За останалите показатели </w:t>
      </w:r>
      <w:r>
        <w:rPr>
          <w:rFonts w:cs="Times New Roman" w:ascii="Times New Roman" w:hAnsi="Times New Roman"/>
          <w:sz w:val="28"/>
          <w:szCs w:val="28"/>
          <w:lang w:val="en-US"/>
        </w:rPr>
        <w:t>V</w:t>
      </w:r>
      <w:r>
        <w:rPr>
          <w:rFonts w:cs="Times New Roman" w:ascii="Times New Roman" w:hAnsi="Times New Roman"/>
          <w:sz w:val="28"/>
          <w:szCs w:val="28"/>
          <w:lang w:val="ru-RU"/>
        </w:rPr>
        <w:t>% е над 30% - извадките са с големи индивидуални различия. Следователно варират в големи граници.</w:t>
      </w:r>
    </w:p>
    <w:p>
      <w:pPr>
        <w:pStyle w:val="PlainText"/>
        <w:spacing w:lineRule="auto" w:line="360"/>
        <w:jc w:val="both"/>
        <w:rPr>
          <w:sz w:val="28"/>
          <w:szCs w:val="28"/>
        </w:rPr>
      </w:pPr>
      <w:r>
        <w:rPr>
          <w:rFonts w:cs="Times New Roman" w:ascii="Times New Roman" w:hAnsi="Times New Roman"/>
          <w:sz w:val="28"/>
          <w:szCs w:val="28"/>
          <w:lang w:val="ru-RU"/>
        </w:rPr>
        <w:t>След това направихме сравнителен анализ на средните аритметични стойности на измерваните резултати. Смисълът на този анализ е да се установи прираста на резултатите преди и след приложената кинезитерапия на двете групи. Тук използвахме</w:t>
      </w:r>
      <w:r>
        <w:rPr>
          <w:rFonts w:cs="Times New Roman" w:ascii="Times New Roman" w:hAnsi="Times New Roman"/>
          <w:sz w:val="28"/>
          <w:szCs w:val="28"/>
          <w:lang w:val="en-US"/>
        </w:rPr>
        <w:t xml:space="preserve"> t-</w:t>
      </w:r>
      <w:r>
        <w:rPr>
          <w:rFonts w:cs="Times New Roman" w:ascii="Times New Roman" w:hAnsi="Times New Roman"/>
          <w:sz w:val="28"/>
          <w:szCs w:val="28"/>
          <w:lang w:val="ru-RU"/>
        </w:rPr>
        <w:t>критерия на Стюдънт, за зависими извадки. При прието ниво на значимост а = 0,05, определихме таблично критичната стойност на критерия, който при К=</w:t>
      </w:r>
      <w:r>
        <w:rPr>
          <w:rFonts w:cs="Times New Roman" w:ascii="Times New Roman" w:hAnsi="Times New Roman"/>
          <w:sz w:val="28"/>
          <w:szCs w:val="28"/>
          <w:lang w:val="en-US"/>
        </w:rPr>
        <w:t>n</w:t>
      </w:r>
      <w:r>
        <w:rPr>
          <w:rFonts w:cs="Times New Roman" w:ascii="Times New Roman" w:hAnsi="Times New Roman"/>
          <w:sz w:val="28"/>
          <w:szCs w:val="28"/>
          <w:lang w:val="ru-RU"/>
        </w:rPr>
        <w:t xml:space="preserve">-1=6 е </w:t>
      </w:r>
      <w:r>
        <w:rPr>
          <w:rFonts w:cs="Times New Roman" w:ascii="Times New Roman" w:hAnsi="Times New Roman"/>
          <w:sz w:val="28"/>
          <w:szCs w:val="28"/>
          <w:lang w:val="en-US"/>
        </w:rPr>
        <w:t>t</w:t>
      </w:r>
      <w:r>
        <w:rPr>
          <w:rFonts w:cs="Times New Roman" w:ascii="Times New Roman" w:hAnsi="Times New Roman"/>
          <w:sz w:val="32"/>
          <w:szCs w:val="32"/>
          <w:vertAlign w:val="subscript"/>
          <w:lang w:val="ru-RU"/>
        </w:rPr>
        <w:t>а</w:t>
      </w:r>
      <w:r>
        <w:rPr>
          <w:rFonts w:cs="Times New Roman" w:ascii="Times New Roman" w:hAnsi="Times New Roman"/>
          <w:sz w:val="28"/>
          <w:szCs w:val="28"/>
          <w:lang w:val="ru-RU"/>
        </w:rPr>
        <w:t xml:space="preserve">=2,45. Според тази зависимост, при стойности на </w:t>
      </w:r>
      <w:r>
        <w:rPr>
          <w:rFonts w:cs="Times New Roman" w:ascii="Times New Roman" w:hAnsi="Times New Roman"/>
          <w:sz w:val="28"/>
          <w:szCs w:val="28"/>
          <w:lang w:val="en-US"/>
        </w:rPr>
        <w:t xml:space="preserve">t </w:t>
      </w:r>
      <w:r>
        <w:rPr>
          <w:rFonts w:cs="Times New Roman" w:ascii="Times New Roman" w:hAnsi="Times New Roman"/>
          <w:sz w:val="28"/>
          <w:szCs w:val="28"/>
          <w:lang w:val="ru-RU"/>
        </w:rPr>
        <w:t>критерия на Стюдънт под 2,45 (в нашия случай) то няма съществена разлика между началните и крайните резултат</w:t>
      </w:r>
      <w:r>
        <w:rPr>
          <w:rFonts w:cs="Times New Roman" w:ascii="Times New Roman" w:hAnsi="Times New Roman"/>
          <w:sz w:val="28"/>
          <w:szCs w:val="28"/>
          <w:lang w:val="en-US"/>
        </w:rPr>
        <w:t>r</w:t>
      </w:r>
      <w:r>
        <w:rPr>
          <w:rFonts w:cs="Times New Roman" w:ascii="Times New Roman" w:hAnsi="Times New Roman"/>
          <w:sz w:val="28"/>
          <w:szCs w:val="28"/>
          <w:lang w:val="ru-RU"/>
        </w:rPr>
        <w:t>. Следователно няма достоверен</w:t>
      </w:r>
      <w:r>
        <w:rPr>
          <w:rFonts w:cs="Times New Roman" w:ascii="Times New Roman" w:hAnsi="Times New Roman"/>
          <w:sz w:val="28"/>
          <w:szCs w:val="28"/>
          <w:lang w:val="en-US"/>
        </w:rPr>
        <w:t xml:space="preserve"> </w:t>
      </w:r>
      <w:r>
        <w:rPr>
          <w:rFonts w:cs="Times New Roman" w:ascii="Times New Roman" w:hAnsi="Times New Roman"/>
          <w:sz w:val="28"/>
          <w:szCs w:val="28"/>
          <w:lang w:val="ru-RU"/>
        </w:rPr>
        <w:t>прираст.</w:t>
      </w:r>
    </w:p>
    <w:p>
      <w:pPr>
        <w:pStyle w:val="PlainText"/>
        <w:spacing w:lineRule="auto" w:line="360"/>
        <w:jc w:val="both"/>
        <w:rPr>
          <w:sz w:val="28"/>
          <w:szCs w:val="28"/>
        </w:rPr>
      </w:pPr>
      <w:r>
        <w:rPr>
          <w:rFonts w:cs="Times New Roman" w:ascii="Times New Roman" w:hAnsi="Times New Roman"/>
          <w:sz w:val="28"/>
          <w:szCs w:val="28"/>
          <w:lang w:val="ru-RU"/>
        </w:rPr>
        <w:t>Резултатите на група А - работна, са показани в таблица № 8</w:t>
      </w:r>
    </w:p>
    <w:p>
      <w:pPr>
        <w:pStyle w:val="PlainText"/>
        <w:spacing w:lineRule="auto" w:line="360"/>
        <w:jc w:val="both"/>
        <w:rPr>
          <w:sz w:val="28"/>
          <w:szCs w:val="28"/>
        </w:rPr>
      </w:pPr>
      <w:r>
        <w:rPr>
          <w:rFonts w:cs="Times New Roman" w:ascii="Times New Roman" w:hAnsi="Times New Roman"/>
          <w:sz w:val="28"/>
          <w:szCs w:val="28"/>
          <w:lang w:val="en-US"/>
        </w:rPr>
      </w:r>
    </w:p>
    <w:p>
      <w:pPr>
        <w:pStyle w:val="PlainText"/>
        <w:spacing w:lineRule="auto" w:line="360"/>
        <w:jc w:val="both"/>
        <w:rPr>
          <w:sz w:val="28"/>
          <w:szCs w:val="28"/>
        </w:rPr>
      </w:pPr>
      <w:r>
        <w:rPr>
          <w:rFonts w:cs="Times New Roman" w:ascii="Times New Roman" w:hAnsi="Times New Roman"/>
          <w:sz w:val="28"/>
          <w:szCs w:val="28"/>
          <w:lang w:val="en-US"/>
        </w:rPr>
      </w:r>
    </w:p>
    <w:p>
      <w:pPr>
        <w:pStyle w:val="PlainText"/>
        <w:spacing w:lineRule="auto" w:line="360"/>
        <w:jc w:val="both"/>
        <w:rPr>
          <w:sz w:val="28"/>
          <w:szCs w:val="28"/>
        </w:rPr>
      </w:pPr>
      <w:r>
        <w:rPr>
          <w:rFonts w:cs="Times New Roman" w:ascii="Times New Roman" w:hAnsi="Times New Roman"/>
          <w:sz w:val="28"/>
          <w:szCs w:val="28"/>
          <w:lang w:val="en-US"/>
        </w:rPr>
      </w:r>
    </w:p>
    <w:p>
      <w:pPr>
        <w:pStyle w:val="PlainText"/>
        <w:spacing w:lineRule="auto" w:line="360"/>
        <w:jc w:val="both"/>
        <w:rPr>
          <w:sz w:val="28"/>
          <w:szCs w:val="28"/>
        </w:rPr>
      </w:pPr>
      <w:r>
        <w:rPr>
          <w:rFonts w:cs="Times New Roman" w:ascii="Times New Roman" w:hAnsi="Times New Roman"/>
          <w:sz w:val="28"/>
          <w:szCs w:val="28"/>
          <w:lang w:val="en-US"/>
        </w:rPr>
      </w:r>
    </w:p>
    <w:p>
      <w:pPr>
        <w:pStyle w:val="PlainText"/>
        <w:spacing w:lineRule="auto" w:line="360"/>
        <w:jc w:val="center"/>
        <w:rPr>
          <w:sz w:val="28"/>
          <w:szCs w:val="28"/>
        </w:rPr>
      </w:pPr>
      <w:r>
        <w:rPr>
          <w:rFonts w:cs="Times New Roman" w:ascii="Times New Roman" w:hAnsi="Times New Roman"/>
          <w:b/>
          <w:sz w:val="28"/>
          <w:szCs w:val="28"/>
          <w:lang w:val="ru-RU"/>
        </w:rPr>
        <w:t>Достоверност на прираста на работната г</w:t>
      </w:r>
      <w:r>
        <w:rPr/>
        <w:t>рупа</w:t>
      </w:r>
    </w:p>
    <w:tbl>
      <w:tblPr>
        <w:tblW w:w="9212" w:type="dxa"/>
        <w:jc w:val="left"/>
        <w:tblInd w:w="0" w:type="dxa"/>
        <w:tblLayout w:type="fixed"/>
        <w:tblCellMar>
          <w:top w:w="0" w:type="dxa"/>
          <w:left w:w="108" w:type="dxa"/>
          <w:bottom w:w="0" w:type="dxa"/>
          <w:right w:w="108" w:type="dxa"/>
        </w:tblCellMar>
      </w:tblPr>
      <w:tblGrid>
        <w:gridCol w:w="468"/>
        <w:gridCol w:w="3420"/>
        <w:gridCol w:w="1260"/>
        <w:gridCol w:w="1080"/>
        <w:gridCol w:w="1080"/>
        <w:gridCol w:w="1260"/>
        <w:gridCol w:w="644"/>
      </w:tblGrid>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ru-RU"/>
              </w:rPr>
              <w:t>№</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rPr>
            </w:pPr>
            <w:r>
              <w:rPr>
                <w:b/>
                <w:sz w:val="20"/>
                <w:szCs w:val="20"/>
              </w:rPr>
              <w:t>Показатели</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ru-RU"/>
              </w:rPr>
              <w:t>Начало</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ru-RU"/>
              </w:rPr>
              <w:t>Край</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ru-RU"/>
              </w:rPr>
              <w:t>Прираст</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pPr>
            <w:r>
              <w:rPr>
                <w:rFonts w:cs="Times New Roman" w:ascii="Times New Roman" w:hAnsi="Times New Roman"/>
                <w:b/>
                <w:lang w:val="en-US"/>
              </w:rPr>
              <w:t>t</w:t>
            </w:r>
            <w:r>
              <w:rPr>
                <w:rFonts w:cs="Times New Roman" w:ascii="Times New Roman" w:hAnsi="Times New Roman"/>
                <w:b/>
              </w:rPr>
              <w:t>-критерий</w:t>
            </w:r>
          </w:p>
        </w:tc>
        <w:tc>
          <w:tcPr>
            <w:tcW w:w="644" w:type="dxa"/>
            <w:tcBorders>
              <w:top w:val="single" w:sz="12" w:space="0" w:color="000000"/>
              <w:left w:val="single" w:sz="12" w:space="0" w:color="000000"/>
              <w:bottom w:val="single" w:sz="12" w:space="0" w:color="000000"/>
              <w:right w:val="single" w:sz="12" w:space="0" w:color="000000"/>
            </w:tcBorders>
            <w:vAlign w:val="center"/>
          </w:tcPr>
          <w:p>
            <w:pPr>
              <w:pStyle w:val="PlainText"/>
              <w:snapToGrid w:val="false"/>
              <w:spacing w:lineRule="auto" w:line="360"/>
              <w:jc w:val="center"/>
              <w:rPr>
                <w:rFonts w:ascii="Times New Roman" w:hAnsi="Times New Roman" w:cs="Times New Roman"/>
                <w:b/>
                <w:lang w:val="ru-RU"/>
              </w:rPr>
            </w:pPr>
            <w:r>
              <w:rPr>
                <w:rFonts w:cs="Times New Roman" w:ascii="Times New Roman" w:hAnsi="Times New Roman"/>
                <w:b/>
                <w:lang w:val="ru-RU"/>
              </w:rPr>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Величина на деформацията</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26,71</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25,29</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-1,429</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1,260</w:t>
            </w:r>
          </w:p>
        </w:tc>
        <w:tc>
          <w:tcPr>
            <w:tcW w:w="644"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Височина на кифозата</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32</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32,85</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0,857</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3,286</w:t>
            </w:r>
          </w:p>
        </w:tc>
        <w:tc>
          <w:tcPr>
            <w:tcW w:w="644"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Подвижност по тест на Отт</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1,5</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2,31</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0,814</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4,240</w:t>
            </w:r>
          </w:p>
        </w:tc>
        <w:tc>
          <w:tcPr>
            <w:tcW w:w="644"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4</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Подвижност на гръдния кош по Хирц</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4,4</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5,61</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1,214</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6,879</w:t>
            </w:r>
          </w:p>
        </w:tc>
        <w:tc>
          <w:tcPr>
            <w:tcW w:w="644"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5</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Силова издръжливост на гръбната мускулатура</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27,14</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47,86</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20,714</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8,148</w:t>
            </w:r>
          </w:p>
        </w:tc>
        <w:tc>
          <w:tcPr>
            <w:tcW w:w="644"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6</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Силова издръжливост на коремната мускулатура</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18,29</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35,14</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16,857</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3,905</w:t>
            </w:r>
          </w:p>
        </w:tc>
        <w:tc>
          <w:tcPr>
            <w:tcW w:w="644"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rHeight w:val="353" w:hRule="atLeast"/>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7</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Комплексна оценка на скъсената ишиокрурална  мускулатура</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6,67</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1,67</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5,000</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Normal"/>
              <w:jc w:val="center"/>
              <w:rPr>
                <w:rFonts w:ascii="Arial" w:hAnsi="Arial" w:cs="Arial"/>
                <w:sz w:val="20"/>
                <w:szCs w:val="20"/>
              </w:rPr>
            </w:pPr>
            <w:r>
              <w:rPr>
                <w:rFonts w:cs="Arial" w:ascii="Arial" w:hAnsi="Arial"/>
                <w:sz w:val="20"/>
                <w:szCs w:val="20"/>
              </w:rPr>
              <w:t>3,130</w:t>
            </w:r>
          </w:p>
          <w:p>
            <w:pPr>
              <w:pStyle w:val="PlainText"/>
              <w:spacing w:lineRule="auto" w:line="360"/>
              <w:jc w:val="center"/>
              <w:rPr>
                <w:rFonts w:ascii="Times New Roman" w:hAnsi="Times New Roman" w:cs="Times New Roman"/>
                <w:sz w:val="20"/>
                <w:szCs w:val="20"/>
                <w:lang w:val="ru-RU"/>
              </w:rPr>
            </w:pPr>
            <w:r>
              <w:rPr>
                <w:rFonts w:cs="Times New Roman" w:ascii="Times New Roman" w:hAnsi="Times New Roman"/>
                <w:sz w:val="20"/>
                <w:szCs w:val="20"/>
                <w:lang w:val="ru-RU"/>
              </w:rPr>
            </w:r>
          </w:p>
        </w:tc>
        <w:tc>
          <w:tcPr>
            <w:tcW w:w="644"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bl>
    <w:p>
      <w:pPr>
        <w:pStyle w:val="PlainText"/>
        <w:spacing w:lineRule="auto" w:line="360"/>
        <w:rPr>
          <w:sz w:val="28"/>
          <w:szCs w:val="28"/>
        </w:rPr>
      </w:pPr>
      <w:r>
        <w:rPr>
          <w:rFonts w:cs="Times New Roman" w:ascii="Times New Roman" w:hAnsi="Times New Roman"/>
          <w:sz w:val="28"/>
          <w:szCs w:val="28"/>
          <w:lang w:val="ru-RU"/>
        </w:rPr>
        <w:tab/>
        <w:tab/>
        <w:tab/>
        <w:tab/>
        <w:tab/>
        <w:tab/>
        <w:tab/>
        <w:tab/>
        <w:tab/>
      </w:r>
      <w:r>
        <w:rPr>
          <w:rFonts w:cs="Times New Roman" w:ascii="Times New Roman" w:hAnsi="Times New Roman"/>
          <w:sz w:val="28"/>
          <w:szCs w:val="28"/>
        </w:rPr>
        <w:t>Таблица №</w:t>
      </w:r>
      <w:r>
        <w:rPr>
          <w:rFonts w:cs="Times New Roman" w:ascii="Times New Roman" w:hAnsi="Times New Roman"/>
          <w:sz w:val="28"/>
          <w:szCs w:val="28"/>
          <w:lang w:val="en-US"/>
        </w:rPr>
        <w:t>8</w:t>
      </w:r>
    </w:p>
    <w:p>
      <w:pPr>
        <w:pStyle w:val="PlainText"/>
        <w:spacing w:lineRule="auto" w:line="360"/>
        <w:rPr>
          <w:sz w:val="28"/>
          <w:szCs w:val="28"/>
        </w:rPr>
      </w:pPr>
      <w:r>
        <w:rPr>
          <w:rFonts w:cs="Times New Roman" w:ascii="Times New Roman" w:hAnsi="Times New Roman"/>
          <w:sz w:val="28"/>
          <w:szCs w:val="28"/>
          <w:lang w:val="en-US"/>
        </w:rPr>
      </w:r>
    </w:p>
    <w:p>
      <w:pPr>
        <w:pStyle w:val="PlainText"/>
        <w:rPr>
          <w:sz w:val="28"/>
          <w:szCs w:val="28"/>
        </w:rPr>
      </w:pPr>
      <w:r>
        <w:rPr>
          <w:lang w:val="ru-RU"/>
        </w:rPr>
        <w:tab/>
        <w:tab/>
        <w:tab/>
        <w:tab/>
        <w:tab/>
      </w:r>
    </w:p>
    <w:p>
      <w:pPr>
        <w:pStyle w:val="PlainText"/>
        <w:spacing w:lineRule="auto" w:line="360"/>
        <w:jc w:val="both"/>
        <w:rPr>
          <w:sz w:val="28"/>
          <w:szCs w:val="28"/>
        </w:rPr>
      </w:pPr>
      <w:r>
        <w:rPr>
          <w:rFonts w:cs="Times New Roman" w:ascii="Times New Roman" w:hAnsi="Times New Roman"/>
          <w:sz w:val="28"/>
          <w:szCs w:val="28"/>
          <w:lang w:val="ru-RU"/>
        </w:rPr>
        <w:t xml:space="preserve">Тук ясно се забелязва, че само по първия показател, а именно величина на деформацията </w:t>
      </w:r>
      <w:r>
        <w:rPr>
          <w:rFonts w:cs="Times New Roman" w:ascii="Times New Roman" w:hAnsi="Times New Roman"/>
          <w:sz w:val="28"/>
          <w:szCs w:val="28"/>
          <w:lang w:val="en-US"/>
        </w:rPr>
        <w:t>t-</w:t>
      </w:r>
      <w:r>
        <w:rPr>
          <w:rFonts w:cs="Times New Roman" w:ascii="Times New Roman" w:hAnsi="Times New Roman"/>
          <w:sz w:val="28"/>
          <w:szCs w:val="28"/>
          <w:lang w:val="ru-RU"/>
        </w:rPr>
        <w:t xml:space="preserve"> критерият на Стюдънт е 1,249 т.е. под 2,45. Следователно този показател няма достоверен прираст.</w:t>
      </w:r>
    </w:p>
    <w:p>
      <w:pPr>
        <w:pStyle w:val="PlainText"/>
        <w:spacing w:lineRule="auto" w:line="360"/>
        <w:jc w:val="both"/>
        <w:rPr>
          <w:sz w:val="28"/>
          <w:szCs w:val="28"/>
        </w:rPr>
      </w:pPr>
      <w:r>
        <w:rPr>
          <w:rFonts w:cs="Times New Roman" w:ascii="Times New Roman" w:hAnsi="Times New Roman"/>
          <w:sz w:val="28"/>
          <w:szCs w:val="28"/>
          <w:lang w:val="ru-RU"/>
        </w:rPr>
        <w:t>Останалите показатели са със стойности над 2,45 и оттам следва извода, че имат съществена разлика между началните и крайните резултати.</w:t>
      </w:r>
    </w:p>
    <w:p>
      <w:pPr>
        <w:pStyle w:val="PlainText"/>
        <w:spacing w:lineRule="auto" w:line="360"/>
        <w:jc w:val="both"/>
        <w:rPr>
          <w:sz w:val="28"/>
          <w:szCs w:val="28"/>
        </w:rPr>
      </w:pPr>
      <w:r>
        <w:rPr>
          <w:rFonts w:cs="Times New Roman" w:ascii="Times New Roman" w:hAnsi="Times New Roman"/>
          <w:sz w:val="28"/>
          <w:szCs w:val="28"/>
          <w:lang w:val="ru-RU"/>
        </w:rPr>
        <w:t xml:space="preserve">Резултатите за група Б - контролна, са показани в таблица № 9 </w:t>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center"/>
        <w:rPr>
          <w:sz w:val="28"/>
          <w:szCs w:val="28"/>
        </w:rPr>
      </w:pPr>
      <w:r>
        <w:rPr>
          <w:rFonts w:cs="Times New Roman" w:ascii="Times New Roman" w:hAnsi="Times New Roman"/>
          <w:b/>
          <w:sz w:val="28"/>
          <w:szCs w:val="28"/>
          <w:lang w:val="ru-RU"/>
        </w:rPr>
        <w:t>Достоверност на прираста на контролната група</w:t>
      </w:r>
    </w:p>
    <w:tbl>
      <w:tblPr>
        <w:tblW w:w="9288" w:type="dxa"/>
        <w:jc w:val="left"/>
        <w:tblInd w:w="0" w:type="dxa"/>
        <w:tblLayout w:type="fixed"/>
        <w:tblCellMar>
          <w:top w:w="0" w:type="dxa"/>
          <w:left w:w="108" w:type="dxa"/>
          <w:bottom w:w="0" w:type="dxa"/>
          <w:right w:w="108" w:type="dxa"/>
        </w:tblCellMar>
      </w:tblPr>
      <w:tblGrid>
        <w:gridCol w:w="468"/>
        <w:gridCol w:w="3420"/>
        <w:gridCol w:w="1260"/>
        <w:gridCol w:w="1080"/>
        <w:gridCol w:w="1080"/>
        <w:gridCol w:w="1260"/>
        <w:gridCol w:w="720"/>
      </w:tblGrid>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ru-RU"/>
              </w:rPr>
              <w:t>№</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rPr>
            </w:pPr>
            <w:r>
              <w:rPr>
                <w:b/>
                <w:sz w:val="20"/>
                <w:szCs w:val="20"/>
              </w:rPr>
              <w:t>Показатели</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ru-RU"/>
              </w:rPr>
              <w:t>Начало</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ru-RU"/>
              </w:rPr>
              <w:t>Край</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ru-RU"/>
              </w:rPr>
              <w:t>Прираст</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pPr>
            <w:r>
              <w:rPr>
                <w:rFonts w:cs="Times New Roman" w:ascii="Times New Roman" w:hAnsi="Times New Roman"/>
                <w:b/>
                <w:lang w:val="en-US"/>
              </w:rPr>
              <w:t>t</w:t>
            </w:r>
            <w:r>
              <w:rPr>
                <w:rFonts w:cs="Times New Roman" w:ascii="Times New Roman" w:hAnsi="Times New Roman"/>
                <w:b/>
              </w:rPr>
              <w:t>-критерий</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PlainText"/>
              <w:snapToGrid w:val="false"/>
              <w:spacing w:lineRule="auto" w:line="360"/>
              <w:jc w:val="center"/>
              <w:rPr>
                <w:rFonts w:ascii="Times New Roman" w:hAnsi="Times New Roman" w:cs="Times New Roman"/>
                <w:b/>
                <w:lang w:val="ru-RU"/>
              </w:rPr>
            </w:pPr>
            <w:r>
              <w:rPr>
                <w:rFonts w:cs="Times New Roman" w:ascii="Times New Roman" w:hAnsi="Times New Roman"/>
                <w:b/>
                <w:lang w:val="ru-RU"/>
              </w:rPr>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Величина на деформацията</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26</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26,43</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0,429</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0,411</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Височина на кифозата</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35,57</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36,21</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0,643</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1,890</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Подвижност по тест на Отт</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1,14</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1,21</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0,071</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0,420</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4</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Подвижност на гръдния кош по Хирц</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3,33</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3,59</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0,257</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2,030</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5</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Силова издръжливост на гръбната мускулатура</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19,43</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34,28</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14,857</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4,211</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6</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Силова издръжливост на коремната мускулатура</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13,29</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29,29</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16,000</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8,523</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r>
        <w:trPr>
          <w:trHeight w:val="150" w:hRule="atLeast"/>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7</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16"/>
                <w:szCs w:val="16"/>
              </w:rPr>
              <w:t>Комплексна оценка на скъсената ишиокрурална  мускулатура</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6,43</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2,14</w:t>
            </w:r>
          </w:p>
        </w:tc>
        <w:tc>
          <w:tcPr>
            <w:tcW w:w="108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-4,29</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Normal"/>
              <w:jc w:val="center"/>
              <w:rPr>
                <w:rFonts w:ascii="Arial" w:hAnsi="Arial" w:cs="Arial"/>
                <w:sz w:val="20"/>
                <w:szCs w:val="20"/>
              </w:rPr>
            </w:pPr>
            <w:r>
              <w:rPr>
                <w:sz w:val="20"/>
                <w:szCs w:val="20"/>
              </w:rPr>
              <w:t>3,133</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lang w:val="ru-RU"/>
              </w:rPr>
            </w:pPr>
            <w:r>
              <w:rPr>
                <w:rFonts w:cs="Times New Roman" w:ascii="Times New Roman" w:hAnsi="Times New Roman"/>
                <w:lang w:val="ru-RU"/>
              </w:rPr>
              <w:t>+</w:t>
            </w:r>
          </w:p>
        </w:tc>
      </w:tr>
    </w:tbl>
    <w:p>
      <w:pPr>
        <w:pStyle w:val="Normal"/>
        <w:spacing w:lineRule="auto" w:line="360"/>
        <w:jc w:val="both"/>
        <w:rPr>
          <w:sz w:val="28"/>
          <w:szCs w:val="28"/>
        </w:rPr>
      </w:pPr>
      <w:r>
        <w:rPr>
          <w:sz w:val="28"/>
          <w:szCs w:val="28"/>
        </w:rPr>
        <w:tab/>
        <w:tab/>
        <w:tab/>
        <w:tab/>
        <w:tab/>
        <w:tab/>
        <w:tab/>
        <w:tab/>
        <w:tab/>
        <w:t xml:space="preserve">Таблица № </w:t>
      </w:r>
      <w:r>
        <w:rPr>
          <w:sz w:val="28"/>
          <w:szCs w:val="28"/>
          <w:lang w:val="en-US"/>
        </w:rPr>
        <w:t>9</w:t>
      </w:r>
    </w:p>
    <w:p>
      <w:pPr>
        <w:pStyle w:val="PlainText"/>
        <w:spacing w:lineRule="auto" w:line="360"/>
        <w:ind w:firstLine="708"/>
        <w:jc w:val="both"/>
        <w:rPr>
          <w:sz w:val="28"/>
          <w:szCs w:val="28"/>
        </w:rPr>
      </w:pPr>
      <w:r>
        <w:rPr>
          <w:rFonts w:cs="Times New Roman" w:ascii="Times New Roman" w:hAnsi="Times New Roman"/>
          <w:sz w:val="28"/>
          <w:szCs w:val="28"/>
          <w:lang w:val="ru-RU"/>
        </w:rPr>
        <w:t>Тук средноаритметичните стойности на изследваните показатели показаха, че с достоверен прираст са само показателите за силова издържливост на гръбна и коремна мускулатура - съответно 4,211 и 8,523</w:t>
      </w:r>
      <w:r>
        <w:rPr>
          <w:rFonts w:cs="Times New Roman" w:ascii="Times New Roman" w:hAnsi="Times New Roman"/>
          <w:sz w:val="28"/>
          <w:szCs w:val="28"/>
          <w:lang w:val="en-US"/>
        </w:rPr>
        <w:t xml:space="preserve">q </w:t>
      </w:r>
      <w:r>
        <w:rPr>
          <w:rFonts w:cs="Times New Roman" w:ascii="Times New Roman" w:hAnsi="Times New Roman"/>
          <w:sz w:val="28"/>
          <w:szCs w:val="28"/>
        </w:rPr>
        <w:t xml:space="preserve">както и показателя комплексна оценка на скъсената  ишиокрурална мускулатура -3,133, </w:t>
      </w:r>
      <w:r>
        <w:rPr>
          <w:rFonts w:cs="Times New Roman" w:ascii="Times New Roman" w:hAnsi="Times New Roman"/>
          <w:sz w:val="28"/>
          <w:szCs w:val="28"/>
          <w:lang w:val="ru-RU"/>
        </w:rPr>
        <w:t>т.е. над 2,45.</w:t>
      </w:r>
    </w:p>
    <w:p>
      <w:pPr>
        <w:pStyle w:val="PlainText"/>
        <w:spacing w:lineRule="auto" w:line="360"/>
        <w:jc w:val="both"/>
        <w:rPr>
          <w:sz w:val="28"/>
          <w:szCs w:val="28"/>
        </w:rPr>
      </w:pPr>
      <w:r>
        <w:rPr>
          <w:rFonts w:cs="Times New Roman" w:ascii="Times New Roman" w:hAnsi="Times New Roman"/>
          <w:sz w:val="28"/>
          <w:szCs w:val="28"/>
          <w:lang w:val="ru-RU"/>
        </w:rPr>
        <w:t>Останалите показатели са под 2,45 и следователно с несъществена разлика между началните и крайните резултати.</w:t>
      </w:r>
    </w:p>
    <w:p>
      <w:pPr>
        <w:pStyle w:val="PlainText"/>
        <w:spacing w:lineRule="auto" w:line="360"/>
        <w:jc w:val="both"/>
        <w:rPr>
          <w:sz w:val="28"/>
          <w:szCs w:val="28"/>
        </w:rPr>
      </w:pPr>
      <w:r>
        <w:rPr>
          <w:rFonts w:cs="Times New Roman" w:ascii="Times New Roman" w:hAnsi="Times New Roman"/>
          <w:sz w:val="28"/>
          <w:szCs w:val="28"/>
          <w:lang w:val="ru-RU"/>
        </w:rPr>
        <w:t>Тук обаче все пак трябва да се отбележи, че за показателя за подвижност на гръден кош по Хирц (2,03) и височина на кифозата (1,89) резултатите са доста близки до критичната точка от 2,45 за достоверност на прираста.</w:t>
      </w:r>
    </w:p>
    <w:p>
      <w:pPr>
        <w:pStyle w:val="PlainText"/>
        <w:spacing w:lineRule="auto" w:line="360"/>
        <w:jc w:val="both"/>
        <w:rPr>
          <w:sz w:val="28"/>
          <w:szCs w:val="28"/>
        </w:rPr>
      </w:pPr>
      <w:r>
        <w:rPr>
          <w:rFonts w:cs="Times New Roman" w:ascii="Times New Roman" w:hAnsi="Times New Roman"/>
          <w:sz w:val="28"/>
          <w:szCs w:val="28"/>
          <w:lang w:val="ru-RU"/>
        </w:rPr>
        <w:t xml:space="preserve">Следващ логичен етап на анализа на резултатите, ние направихме сравнителен анализ на прирастите на двете групи. Нашата задача бе да установим дали има достоверна разлика между получения прираст на група А и Б. За тази цел ние използвахме </w:t>
      </w:r>
      <w:r>
        <w:rPr>
          <w:rFonts w:cs="Times New Roman" w:ascii="Times New Roman" w:hAnsi="Times New Roman"/>
          <w:sz w:val="28"/>
          <w:szCs w:val="28"/>
          <w:lang w:val="en-US"/>
        </w:rPr>
        <w:t>t-</w:t>
      </w:r>
      <w:r>
        <w:rPr>
          <w:rFonts w:cs="Times New Roman" w:ascii="Times New Roman" w:hAnsi="Times New Roman"/>
          <w:sz w:val="28"/>
          <w:szCs w:val="28"/>
          <w:lang w:val="ru-RU"/>
        </w:rPr>
        <w:t>критерия на Стюдънт за независими извадки. При ниво на зависимост α=0,005 и К=</w:t>
      </w:r>
      <w:r>
        <w:rPr>
          <w:rFonts w:cs="Times New Roman" w:ascii="Times New Roman" w:hAnsi="Times New Roman"/>
          <w:sz w:val="28"/>
          <w:szCs w:val="28"/>
          <w:lang w:val="en-US"/>
        </w:rPr>
        <w:t>n</w:t>
      </w:r>
      <w:r>
        <w:rPr>
          <w:rFonts w:cs="Times New Roman" w:ascii="Times New Roman" w:hAnsi="Times New Roman"/>
          <w:sz w:val="28"/>
          <w:szCs w:val="28"/>
          <w:lang w:val="ru-RU"/>
        </w:rPr>
        <w:t>1+</w:t>
      </w:r>
      <w:r>
        <w:rPr>
          <w:rFonts w:cs="Times New Roman" w:ascii="Times New Roman" w:hAnsi="Times New Roman"/>
          <w:sz w:val="28"/>
          <w:szCs w:val="28"/>
          <w:lang w:val="en-US"/>
        </w:rPr>
        <w:t>n</w:t>
      </w:r>
      <w:r>
        <w:rPr>
          <w:rFonts w:cs="Times New Roman" w:ascii="Times New Roman" w:hAnsi="Times New Roman"/>
          <w:sz w:val="28"/>
          <w:szCs w:val="28"/>
          <w:lang w:val="ru-RU"/>
        </w:rPr>
        <w:t xml:space="preserve">2-2=12, получихме </w:t>
      </w:r>
      <w:r>
        <w:rPr>
          <w:rFonts w:cs="Times New Roman" w:ascii="Times New Roman" w:hAnsi="Times New Roman"/>
          <w:sz w:val="28"/>
          <w:szCs w:val="28"/>
          <w:lang w:val="en-US"/>
        </w:rPr>
        <w:t>t</w:t>
      </w:r>
      <w:r>
        <w:rPr>
          <w:rFonts w:cs="Times New Roman" w:ascii="Times New Roman" w:hAnsi="Times New Roman"/>
          <w:sz w:val="28"/>
          <w:szCs w:val="28"/>
          <w:lang w:val="ru-RU"/>
        </w:rPr>
        <w:t xml:space="preserve"> α=2</w:t>
      </w:r>
      <w:r>
        <w:rPr>
          <w:rFonts w:cs="Times New Roman" w:ascii="Times New Roman" w:hAnsi="Times New Roman"/>
          <w:sz w:val="28"/>
          <w:szCs w:val="28"/>
          <w:lang w:val="en-US"/>
        </w:rPr>
        <w:t>.1</w:t>
      </w:r>
      <w:r>
        <w:rPr>
          <w:rFonts w:cs="Times New Roman" w:ascii="Times New Roman" w:hAnsi="Times New Roman"/>
          <w:sz w:val="28"/>
          <w:szCs w:val="28"/>
          <w:lang w:val="ru-RU"/>
        </w:rPr>
        <w:t>8</w:t>
      </w:r>
    </w:p>
    <w:p>
      <w:pPr>
        <w:pStyle w:val="PlainText"/>
        <w:spacing w:lineRule="auto" w:line="360"/>
        <w:jc w:val="both"/>
        <w:rPr>
          <w:sz w:val="28"/>
          <w:szCs w:val="28"/>
        </w:rPr>
      </w:pPr>
      <w:r>
        <w:rPr>
          <w:rFonts w:cs="Times New Roman" w:ascii="Times New Roman" w:hAnsi="Times New Roman"/>
          <w:sz w:val="28"/>
          <w:szCs w:val="28"/>
        </w:rPr>
      </w:r>
    </w:p>
    <w:p>
      <w:pPr>
        <w:pStyle w:val="Normal"/>
        <w:spacing w:lineRule="auto" w:line="360"/>
        <w:jc w:val="center"/>
        <w:rPr>
          <w:sz w:val="28"/>
          <w:szCs w:val="28"/>
        </w:rPr>
      </w:pPr>
      <w:r>
        <w:rPr/>
        <w:t>Сравнителен анализ на прираста на двете групи</w:t>
      </w:r>
    </w:p>
    <w:tbl>
      <w:tblPr>
        <w:tblW w:w="9288" w:type="dxa"/>
        <w:jc w:val="left"/>
        <w:tblInd w:w="0" w:type="dxa"/>
        <w:tblLayout w:type="fixed"/>
        <w:tblCellMar>
          <w:top w:w="0" w:type="dxa"/>
          <w:left w:w="108" w:type="dxa"/>
          <w:bottom w:w="0" w:type="dxa"/>
          <w:right w:w="108" w:type="dxa"/>
        </w:tblCellMar>
      </w:tblPr>
      <w:tblGrid>
        <w:gridCol w:w="468"/>
        <w:gridCol w:w="3420"/>
        <w:gridCol w:w="1800"/>
        <w:gridCol w:w="1620"/>
        <w:gridCol w:w="1260"/>
        <w:gridCol w:w="720"/>
      </w:tblGrid>
      <w:tr>
        <w:trPr/>
        <w:tc>
          <w:tcPr>
            <w:tcW w:w="468"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ru-RU"/>
              </w:rPr>
              <w:t>№</w:t>
            </w:r>
          </w:p>
        </w:tc>
        <w:tc>
          <w:tcPr>
            <w:tcW w:w="34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b/>
                <w:sz w:val="20"/>
                <w:szCs w:val="20"/>
              </w:rPr>
            </w:pPr>
            <w:r>
              <w:rPr>
                <w:b/>
                <w:sz w:val="20"/>
                <w:szCs w:val="20"/>
              </w:rPr>
              <w:t>Показатели</w:t>
            </w:r>
          </w:p>
        </w:tc>
        <w:tc>
          <w:tcPr>
            <w:tcW w:w="180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ru-RU"/>
              </w:rPr>
              <w:t>Прираст на работната група</w:t>
            </w:r>
          </w:p>
        </w:tc>
        <w:tc>
          <w:tcPr>
            <w:tcW w:w="162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ru-RU"/>
              </w:rPr>
              <w:t>Прираст на контролната група</w:t>
            </w:r>
          </w:p>
        </w:tc>
        <w:tc>
          <w:tcPr>
            <w:tcW w:w="1260" w:type="dxa"/>
            <w:tcBorders>
              <w:top w:val="single" w:sz="12" w:space="0" w:color="000000"/>
              <w:left w:val="single" w:sz="12" w:space="0" w:color="000000"/>
              <w:bottom w:val="single" w:sz="12" w:space="0" w:color="000000"/>
              <w:right w:val="single" w:sz="12" w:space="0" w:color="000000"/>
            </w:tcBorders>
            <w:vAlign w:val="center"/>
          </w:tcPr>
          <w:p>
            <w:pPr>
              <w:pStyle w:val="PlainText"/>
              <w:spacing w:lineRule="auto" w:line="360"/>
              <w:jc w:val="center"/>
              <w:rPr>
                <w:rFonts w:ascii="Times New Roman" w:hAnsi="Times New Roman" w:cs="Times New Roman"/>
                <w:b/>
                <w:lang w:val="ru-RU"/>
              </w:rPr>
            </w:pPr>
            <w:r>
              <w:rPr>
                <w:rFonts w:cs="Times New Roman" w:ascii="Times New Roman" w:hAnsi="Times New Roman"/>
                <w:b/>
                <w:lang w:val="en-US"/>
              </w:rPr>
              <w:t>t</w:t>
            </w:r>
            <w:r>
              <w:rPr>
                <w:rFonts w:cs="Times New Roman" w:ascii="Times New Roman" w:hAnsi="Times New Roman"/>
                <w:b/>
              </w:rPr>
              <w:t>-критерий</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PlainText"/>
              <w:snapToGrid w:val="false"/>
              <w:spacing w:lineRule="auto" w:line="360"/>
              <w:jc w:val="center"/>
              <w:rPr>
                <w:rFonts w:ascii="Times New Roman" w:hAnsi="Times New Roman" w:cs="Times New Roman"/>
                <w:b/>
                <w:lang w:val="ru-RU"/>
              </w:rPr>
            </w:pPr>
            <w:r>
              <w:rPr>
                <w:rFonts w:cs="Times New Roman" w:ascii="Times New Roman" w:hAnsi="Times New Roman"/>
                <w:b/>
                <w:lang w:val="ru-RU"/>
              </w:rPr>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w:t>
            </w:r>
          </w:p>
        </w:tc>
        <w:tc>
          <w:tcPr>
            <w:tcW w:w="34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Величина на деформацията</w:t>
            </w:r>
          </w:p>
        </w:tc>
        <w:tc>
          <w:tcPr>
            <w:tcW w:w="180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-1,429</w:t>
            </w:r>
          </w:p>
        </w:tc>
        <w:tc>
          <w:tcPr>
            <w:tcW w:w="162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0,429</w:t>
            </w:r>
          </w:p>
        </w:tc>
        <w:tc>
          <w:tcPr>
            <w:tcW w:w="126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1,207</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w:t>
            </w:r>
          </w:p>
        </w:tc>
        <w:tc>
          <w:tcPr>
            <w:tcW w:w="34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Височина на кифозата</w:t>
            </w:r>
          </w:p>
        </w:tc>
        <w:tc>
          <w:tcPr>
            <w:tcW w:w="180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0,857</w:t>
            </w:r>
          </w:p>
        </w:tc>
        <w:tc>
          <w:tcPr>
            <w:tcW w:w="162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0,643</w:t>
            </w:r>
          </w:p>
        </w:tc>
        <w:tc>
          <w:tcPr>
            <w:tcW w:w="126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0,500</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3</w:t>
            </w:r>
          </w:p>
        </w:tc>
        <w:tc>
          <w:tcPr>
            <w:tcW w:w="34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Подвижност по тест на Отт</w:t>
            </w:r>
          </w:p>
        </w:tc>
        <w:tc>
          <w:tcPr>
            <w:tcW w:w="180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0,814</w:t>
            </w:r>
          </w:p>
        </w:tc>
        <w:tc>
          <w:tcPr>
            <w:tcW w:w="162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0,071</w:t>
            </w:r>
          </w:p>
        </w:tc>
        <w:tc>
          <w:tcPr>
            <w:tcW w:w="126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2,896</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4</w:t>
            </w:r>
          </w:p>
        </w:tc>
        <w:tc>
          <w:tcPr>
            <w:tcW w:w="34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Подвижност на гръдния кош по Хирц</w:t>
            </w:r>
          </w:p>
        </w:tc>
        <w:tc>
          <w:tcPr>
            <w:tcW w:w="180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1,214</w:t>
            </w:r>
          </w:p>
        </w:tc>
        <w:tc>
          <w:tcPr>
            <w:tcW w:w="162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0,257</w:t>
            </w:r>
          </w:p>
        </w:tc>
        <w:tc>
          <w:tcPr>
            <w:tcW w:w="126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4,402</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5</w:t>
            </w:r>
          </w:p>
        </w:tc>
        <w:tc>
          <w:tcPr>
            <w:tcW w:w="34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Силова издръжливост на гръбната мускулатура</w:t>
            </w:r>
          </w:p>
        </w:tc>
        <w:tc>
          <w:tcPr>
            <w:tcW w:w="180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20,714</w:t>
            </w:r>
          </w:p>
        </w:tc>
        <w:tc>
          <w:tcPr>
            <w:tcW w:w="162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14,857</w:t>
            </w:r>
          </w:p>
        </w:tc>
        <w:tc>
          <w:tcPr>
            <w:tcW w:w="126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1,347</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6</w:t>
            </w:r>
          </w:p>
        </w:tc>
        <w:tc>
          <w:tcPr>
            <w:tcW w:w="34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Силова издръжливост на коремната мускулатура</w:t>
            </w:r>
          </w:p>
        </w:tc>
        <w:tc>
          <w:tcPr>
            <w:tcW w:w="180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16,857</w:t>
            </w:r>
          </w:p>
        </w:tc>
        <w:tc>
          <w:tcPr>
            <w:tcW w:w="162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16,000</w:t>
            </w:r>
          </w:p>
        </w:tc>
        <w:tc>
          <w:tcPr>
            <w:tcW w:w="126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0,182</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w:t>
            </w:r>
          </w:p>
        </w:tc>
      </w:tr>
      <w:tr>
        <w:trPr/>
        <w:tc>
          <w:tcPr>
            <w:tcW w:w="468"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7</w:t>
            </w:r>
          </w:p>
        </w:tc>
        <w:tc>
          <w:tcPr>
            <w:tcW w:w="342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16"/>
                <w:szCs w:val="16"/>
              </w:rPr>
              <w:t>Комплексна оценка на скъсената ишиокрурална  мускулатура</w:t>
            </w:r>
          </w:p>
        </w:tc>
        <w:tc>
          <w:tcPr>
            <w:tcW w:w="180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5,000</w:t>
            </w:r>
          </w:p>
        </w:tc>
        <w:tc>
          <w:tcPr>
            <w:tcW w:w="1620" w:type="dxa"/>
            <w:tcBorders>
              <w:top w:val="single" w:sz="12" w:space="0" w:color="000000"/>
              <w:left w:val="single" w:sz="12" w:space="0" w:color="000000"/>
              <w:bottom w:val="single" w:sz="12" w:space="0" w:color="000000"/>
              <w:right w:val="single" w:sz="12" w:space="0" w:color="000000"/>
            </w:tcBorders>
          </w:tcPr>
          <w:p>
            <w:pPr>
              <w:pStyle w:val="PlainText"/>
              <w:spacing w:lineRule="auto" w:line="360"/>
              <w:rPr>
                <w:rFonts w:ascii="Times New Roman" w:hAnsi="Times New Roman" w:cs="Times New Roman"/>
                <w:lang w:val="ru-RU"/>
              </w:rPr>
            </w:pPr>
            <w:r>
              <w:rPr>
                <w:rFonts w:cs="Times New Roman" w:ascii="Times New Roman" w:hAnsi="Times New Roman"/>
                <w:lang w:val="ru-RU"/>
              </w:rPr>
              <w:t>-4,29</w:t>
            </w:r>
          </w:p>
        </w:tc>
        <w:tc>
          <w:tcPr>
            <w:tcW w:w="1260" w:type="dxa"/>
            <w:tcBorders>
              <w:top w:val="single" w:sz="12" w:space="0" w:color="000000"/>
              <w:left w:val="single" w:sz="12" w:space="0" w:color="000000"/>
              <w:bottom w:val="single" w:sz="12" w:space="0" w:color="000000"/>
              <w:right w:val="single" w:sz="12" w:space="0" w:color="000000"/>
            </w:tcBorders>
          </w:tcPr>
          <w:p>
            <w:pPr>
              <w:pStyle w:val="Normal"/>
              <w:spacing w:lineRule="auto" w:line="360"/>
              <w:jc w:val="both"/>
              <w:rPr>
                <w:sz w:val="20"/>
                <w:szCs w:val="20"/>
              </w:rPr>
            </w:pPr>
            <w:r>
              <w:rPr>
                <w:sz w:val="20"/>
                <w:szCs w:val="20"/>
              </w:rPr>
              <w:t>1,003</w:t>
            </w:r>
          </w:p>
        </w:tc>
        <w:tc>
          <w:tcPr>
            <w:tcW w:w="720" w:type="dxa"/>
            <w:tcBorders>
              <w:top w:val="single" w:sz="12" w:space="0" w:color="000000"/>
              <w:left w:val="single" w:sz="12" w:space="0" w:color="000000"/>
              <w:bottom w:val="single" w:sz="12" w:space="0" w:color="000000"/>
              <w:right w:val="single" w:sz="12" w:space="0" w:color="000000"/>
            </w:tcBorders>
            <w:vAlign w:val="center"/>
          </w:tcPr>
          <w:p>
            <w:pPr>
              <w:pStyle w:val="Normal"/>
              <w:spacing w:lineRule="auto" w:line="360"/>
              <w:jc w:val="center"/>
              <w:rPr>
                <w:sz w:val="20"/>
                <w:szCs w:val="20"/>
              </w:rPr>
            </w:pPr>
            <w:r>
              <w:rPr>
                <w:sz w:val="20"/>
                <w:szCs w:val="20"/>
              </w:rPr>
              <w:t>-</w:t>
            </w:r>
          </w:p>
        </w:tc>
      </w:tr>
    </w:tbl>
    <w:p>
      <w:pPr>
        <w:pStyle w:val="Normal"/>
        <w:tabs>
          <w:tab w:val="clear" w:pos="708"/>
          <w:tab w:val="left" w:pos="2154" w:leader="none"/>
        </w:tabs>
        <w:spacing w:lineRule="auto" w:line="360"/>
        <w:jc w:val="right"/>
        <w:rPr>
          <w:sz w:val="28"/>
          <w:szCs w:val="28"/>
        </w:rPr>
      </w:pPr>
      <w:r>
        <w:rPr>
          <w:sz w:val="28"/>
          <w:szCs w:val="28"/>
        </w:rPr>
        <w:t xml:space="preserve">Таблица № </w:t>
      </w:r>
      <w:r>
        <w:rPr>
          <w:sz w:val="28"/>
          <w:szCs w:val="28"/>
          <w:lang w:val="en-US"/>
        </w:rPr>
        <w:t>10</w:t>
        <w:tab/>
      </w:r>
    </w:p>
    <w:p>
      <w:pPr>
        <w:pStyle w:val="Normal"/>
        <w:spacing w:lineRule="auto" w:line="360"/>
        <w:jc w:val="both"/>
        <w:rPr>
          <w:sz w:val="28"/>
          <w:szCs w:val="28"/>
        </w:rPr>
      </w:pPr>
      <w:r>
        <w:rPr>
          <w:sz w:val="28"/>
          <w:szCs w:val="28"/>
          <w:lang w:val="en-US"/>
        </w:rPr>
      </w:r>
    </w:p>
    <w:p>
      <w:pPr>
        <w:pStyle w:val="PlainText"/>
        <w:spacing w:lineRule="auto" w:line="360"/>
        <w:jc w:val="center"/>
        <w:rPr>
          <w:sz w:val="28"/>
          <w:szCs w:val="28"/>
        </w:rPr>
      </w:pPr>
      <w:r>
        <w:rPr>
          <w:rFonts w:cs="Times New Roman" w:ascii="Times New Roman" w:hAnsi="Times New Roman"/>
          <w:b/>
          <w:sz w:val="28"/>
          <w:szCs w:val="28"/>
          <w:lang w:val="ru-RU"/>
        </w:rPr>
        <w:t>Резултатите от сравнителния анализ показват:</w:t>
      </w:r>
    </w:p>
    <w:p>
      <w:pPr>
        <w:pStyle w:val="PlainText"/>
        <w:spacing w:lineRule="auto" w:line="360"/>
        <w:jc w:val="center"/>
        <w:rPr>
          <w:sz w:val="28"/>
          <w:szCs w:val="28"/>
        </w:rPr>
      </w:pPr>
      <w:r>
        <w:rPr>
          <w:rFonts w:cs="Times New Roman" w:ascii="Times New Roman" w:hAnsi="Times New Roman"/>
          <w:b/>
          <w:sz w:val="28"/>
          <w:szCs w:val="28"/>
          <w:lang w:val="ru-RU"/>
        </w:rPr>
      </w:r>
    </w:p>
    <w:p>
      <w:pPr>
        <w:pStyle w:val="PlainText"/>
        <w:spacing w:lineRule="auto" w:line="360"/>
        <w:ind w:firstLine="708"/>
        <w:jc w:val="both"/>
        <w:rPr>
          <w:sz w:val="28"/>
          <w:szCs w:val="28"/>
        </w:rPr>
      </w:pPr>
      <w:r>
        <w:rPr>
          <w:rFonts w:cs="Times New Roman" w:ascii="Times New Roman" w:hAnsi="Times New Roman"/>
          <w:sz w:val="28"/>
          <w:szCs w:val="28"/>
          <w:lang w:val="ru-RU"/>
        </w:rPr>
        <w:t>По първи и втори показател - за височина на кифозата и величина на деформацията - (съответно за величина на деформацията 1,207 и за височина на кифозата 0,5) се установи, че са под критичната стойност за достоверност от 2,18. Следователно двете методики за тези два показателя не са с достатъчно достоверен прираст.</w:t>
      </w:r>
    </w:p>
    <w:p>
      <w:pPr>
        <w:pStyle w:val="PlainText"/>
        <w:spacing w:lineRule="auto" w:line="360"/>
        <w:ind w:firstLine="708"/>
        <w:jc w:val="both"/>
        <w:rPr>
          <w:sz w:val="28"/>
          <w:szCs w:val="28"/>
        </w:rPr>
      </w:pPr>
      <w:r>
        <w:rPr>
          <w:rFonts w:cs="Times New Roman" w:ascii="Times New Roman" w:hAnsi="Times New Roman"/>
          <w:sz w:val="28"/>
          <w:szCs w:val="28"/>
          <w:lang w:val="ru-RU"/>
        </w:rPr>
        <w:t>По трети и четвърти показател за подвижност по тест на Отт (2,836) и подвижност на гръдния кош по Хирц (4,402) се вижда, че имаме достатъчно достоверен прираст. Затова, ще отбележим, че експерименталната методика е по-ефективна.</w:t>
      </w:r>
    </w:p>
    <w:p>
      <w:pPr>
        <w:pStyle w:val="PlainText"/>
        <w:spacing w:lineRule="auto" w:line="360"/>
        <w:jc w:val="both"/>
        <w:rPr>
          <w:sz w:val="28"/>
          <w:szCs w:val="28"/>
        </w:rPr>
      </w:pPr>
      <w:r>
        <w:rPr>
          <w:rFonts w:cs="Times New Roman" w:ascii="Times New Roman" w:hAnsi="Times New Roman"/>
          <w:sz w:val="28"/>
          <w:szCs w:val="28"/>
          <w:lang w:val="ru-RU"/>
        </w:rPr>
        <w:t>За последните три показателя:</w:t>
      </w:r>
      <w:r>
        <w:rPr>
          <w:sz w:val="16"/>
          <w:szCs w:val="16"/>
        </w:rPr>
        <w:t xml:space="preserve"> </w:t>
      </w:r>
      <w:r>
        <w:rPr>
          <w:rFonts w:cs="Times New Roman" w:ascii="Times New Roman" w:hAnsi="Times New Roman"/>
          <w:sz w:val="28"/>
          <w:szCs w:val="28"/>
        </w:rPr>
        <w:t>комплексна оценка на скъсената ишиокрурална мускулатура (1,003)</w:t>
      </w:r>
      <w:r>
        <w:rPr>
          <w:rFonts w:cs="Times New Roman" w:ascii="Times New Roman" w:hAnsi="Times New Roman"/>
          <w:sz w:val="28"/>
          <w:szCs w:val="28"/>
          <w:lang w:val="ru-RU"/>
        </w:rPr>
        <w:t xml:space="preserve"> силова издържливост на гръбна мускулатура (1,347) и силова издържливост на коремна мускулатура (0,182), </w:t>
      </w:r>
      <w:r>
        <w:rPr>
          <w:rFonts w:cs="Times New Roman" w:ascii="Times New Roman" w:hAnsi="Times New Roman"/>
          <w:sz w:val="28"/>
          <w:szCs w:val="28"/>
          <w:lang w:val="en-US"/>
        </w:rPr>
        <w:t>t-</w:t>
      </w:r>
      <w:r>
        <w:rPr>
          <w:rFonts w:cs="Times New Roman" w:ascii="Times New Roman" w:hAnsi="Times New Roman"/>
          <w:sz w:val="28"/>
          <w:szCs w:val="28"/>
          <w:lang w:val="ru-RU"/>
        </w:rPr>
        <w:t>критерият на Стюдънт пак е под 2,18. Следователно двете методики за тези три показатели са еднакво ефективни.</w:t>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center"/>
        <w:rPr>
          <w:sz w:val="28"/>
          <w:szCs w:val="28"/>
        </w:rPr>
      </w:pPr>
      <w:r>
        <w:rPr>
          <w:rFonts w:cs="Times New Roman" w:ascii="Times New Roman" w:hAnsi="Times New Roman"/>
          <w:b/>
          <w:sz w:val="28"/>
          <w:szCs w:val="28"/>
          <w:lang w:val="ru-RU"/>
        </w:rPr>
        <w:t>Резултати от изследването на  величината</w:t>
      </w:r>
      <w:r>
        <w:rPr>
          <w:rFonts w:cs="Times New Roman" w:ascii="Times New Roman" w:hAnsi="Times New Roman"/>
          <w:sz w:val="28"/>
          <w:szCs w:val="28"/>
          <w:lang w:val="ru-RU"/>
        </w:rPr>
        <w:t xml:space="preserve"> </w:t>
      </w:r>
      <w:r>
        <w:rPr>
          <w:rFonts w:cs="Times New Roman" w:ascii="Times New Roman" w:hAnsi="Times New Roman"/>
          <w:b/>
          <w:sz w:val="28"/>
          <w:szCs w:val="28"/>
          <w:lang w:val="ru-RU"/>
        </w:rPr>
        <w:t>на деформацията</w:t>
      </w:r>
    </w:p>
    <w:p>
      <w:pPr>
        <w:pStyle w:val="PlainText"/>
        <w:spacing w:lineRule="auto" w:line="360"/>
        <w:ind w:firstLine="708"/>
        <w:jc w:val="both"/>
        <w:rPr>
          <w:sz w:val="28"/>
          <w:szCs w:val="28"/>
        </w:rPr>
      </w:pPr>
      <w:r>
        <w:rPr>
          <w:rFonts w:cs="Times New Roman" w:ascii="Times New Roman" w:hAnsi="Times New Roman"/>
          <w:sz w:val="28"/>
          <w:szCs w:val="28"/>
          <w:lang w:val="ru-RU"/>
        </w:rPr>
        <w:t>При съпоставяне на резултатите от измерването на величината на деформацията на учениците от двете групи в началното изследване не се установи статистически достоверна разлика.</w:t>
      </w:r>
    </w:p>
    <w:p>
      <w:pPr>
        <w:pStyle w:val="PlainText"/>
        <w:spacing w:lineRule="auto" w:line="360"/>
        <w:ind w:firstLine="708"/>
        <w:jc w:val="both"/>
        <w:rPr>
          <w:sz w:val="28"/>
          <w:szCs w:val="28"/>
        </w:rPr>
      </w:pPr>
      <w:r>
        <w:rPr>
          <w:rFonts w:cs="Times New Roman" w:ascii="Times New Roman" w:hAnsi="Times New Roman"/>
          <w:sz w:val="28"/>
          <w:szCs w:val="28"/>
          <w:lang w:val="ru-RU"/>
        </w:rPr>
        <w:t xml:space="preserve">При сравняването на крайните с началните резултати на големината на изкривяването в контролната група се установи, че в крайното изследване тя има прираст - 0,429 при </w:t>
      </w:r>
      <w:r>
        <w:rPr>
          <w:rFonts w:cs="Times New Roman" w:ascii="Times New Roman" w:hAnsi="Times New Roman"/>
          <w:sz w:val="28"/>
          <w:szCs w:val="28"/>
          <w:lang w:val="en-US"/>
        </w:rPr>
        <w:t>t-</w:t>
      </w:r>
      <w:r>
        <w:rPr>
          <w:rFonts w:cs="Times New Roman" w:ascii="Times New Roman" w:hAnsi="Times New Roman"/>
          <w:sz w:val="28"/>
          <w:szCs w:val="28"/>
          <w:lang w:val="ru-RU"/>
        </w:rPr>
        <w:t xml:space="preserve">0,41, Аналогичното действие при </w:t>
      </w:r>
      <w:r>
        <w:rPr>
          <w:rFonts w:cs="Times New Roman" w:ascii="Times New Roman" w:hAnsi="Times New Roman"/>
          <w:sz w:val="28"/>
          <w:szCs w:val="28"/>
          <w:lang w:val="en-US"/>
        </w:rPr>
        <w:t>,</w:t>
      </w:r>
      <w:r>
        <w:rPr>
          <w:rFonts w:cs="Times New Roman" w:ascii="Times New Roman" w:hAnsi="Times New Roman"/>
          <w:sz w:val="28"/>
          <w:szCs w:val="28"/>
        </w:rPr>
        <w:t xml:space="preserve">работната </w:t>
      </w:r>
      <w:r>
        <w:rPr>
          <w:rFonts w:cs="Times New Roman" w:ascii="Times New Roman" w:hAnsi="Times New Roman"/>
          <w:sz w:val="28"/>
          <w:szCs w:val="28"/>
          <w:lang w:val="ru-RU"/>
        </w:rPr>
        <w:t xml:space="preserve">група показва прираст на изследвания показател - 1,429 при </w:t>
      </w:r>
      <w:r>
        <w:rPr>
          <w:rFonts w:cs="Times New Roman" w:ascii="Times New Roman" w:hAnsi="Times New Roman"/>
          <w:sz w:val="28"/>
          <w:szCs w:val="28"/>
          <w:lang w:val="en-US"/>
        </w:rPr>
        <w:t>t</w:t>
      </w:r>
      <w:r>
        <w:rPr>
          <w:rFonts w:cs="Times New Roman" w:ascii="Times New Roman" w:hAnsi="Times New Roman"/>
          <w:sz w:val="28"/>
          <w:szCs w:val="28"/>
          <w:lang w:val="ru-RU"/>
        </w:rPr>
        <w:t>-1,26. Резултат много по-добър от този в контролната група. Въпреки постигнатия оптимален ефект резултатът е статистически недостоверен. Обяснителният механизъм се намира в твърде намалените функционални възможности на гръбначния стълб за корекция, наложени му от патологичната деформация. Наличната мускулна асиметрия в съчетание с ригидната и инсуфициентиа паравертебрална мускулатура, допълнително затрудняват корекционната работа. При средна начална величина на деформация 26,71 ° на учениците от група А получените резултати от 25,29° в края на проучването позволяват следните оценки:</w:t>
      </w:r>
    </w:p>
    <w:p>
      <w:pPr>
        <w:pStyle w:val="PlainText"/>
        <w:spacing w:lineRule="auto" w:line="360"/>
        <w:jc w:val="both"/>
        <w:rPr>
          <w:sz w:val="28"/>
          <w:szCs w:val="28"/>
        </w:rPr>
      </w:pPr>
      <w:r>
        <w:rPr>
          <w:rFonts w:cs="Times New Roman" w:ascii="Times New Roman" w:hAnsi="Times New Roman"/>
          <w:sz w:val="28"/>
          <w:szCs w:val="28"/>
          <w:lang w:val="ru-RU"/>
        </w:rPr>
        <w:t>- В значителна степен е намален темпа на прогресиране на деформацията - само едно дете е влошило състоянието на тежестта на кифотинната дъга с 3°. В много литературни източници влошаване до 5° се приема за стабилизиране на процеса.</w:t>
      </w:r>
    </w:p>
    <w:p>
      <w:pPr>
        <w:pStyle w:val="PlainText"/>
        <w:spacing w:lineRule="auto" w:line="360"/>
        <w:jc w:val="both"/>
        <w:rPr>
          <w:sz w:val="28"/>
          <w:szCs w:val="28"/>
        </w:rPr>
      </w:pPr>
      <w:r>
        <w:rPr>
          <w:rFonts w:cs="Times New Roman" w:ascii="Times New Roman" w:hAnsi="Times New Roman"/>
          <w:sz w:val="28"/>
          <w:szCs w:val="28"/>
          <w:lang w:val="ru-RU"/>
        </w:rPr>
        <w:t>- Намалена е величината на деформацията при 3 от случаите.</w:t>
      </w:r>
    </w:p>
    <w:p>
      <w:pPr>
        <w:pStyle w:val="PlainText"/>
        <w:spacing w:lineRule="auto" w:line="360"/>
        <w:jc w:val="both"/>
        <w:rPr>
          <w:sz w:val="28"/>
          <w:szCs w:val="28"/>
        </w:rPr>
      </w:pPr>
      <w:r>
        <w:rPr>
          <w:rFonts w:cs="Times New Roman" w:ascii="Times New Roman" w:hAnsi="Times New Roman"/>
          <w:sz w:val="28"/>
          <w:szCs w:val="28"/>
          <w:lang w:val="ru-RU"/>
        </w:rPr>
        <w:t>- Получена е стабилизация на процеса при останалите ученици. Установените промени са показателни, че експерименталната методика дава надеждни резултати в динамиката на кифотичната деформация</w:t>
      </w:r>
    </w:p>
    <w:p>
      <w:pPr>
        <w:pStyle w:val="PlainText"/>
        <w:spacing w:lineRule="auto" w:line="360"/>
        <w:jc w:val="both"/>
        <w:rPr>
          <w:sz w:val="28"/>
          <w:szCs w:val="28"/>
        </w:rPr>
      </w:pPr>
      <w:r>
        <w:rPr>
          <w:rFonts w:cs="Times New Roman" w:ascii="Times New Roman" w:hAnsi="Times New Roman"/>
          <w:sz w:val="28"/>
          <w:szCs w:val="28"/>
          <w:lang w:val="ru-RU"/>
        </w:rPr>
      </w:r>
    </w:p>
    <w:p>
      <w:pPr>
        <w:pStyle w:val="PlainText"/>
        <w:spacing w:lineRule="auto" w:line="360"/>
        <w:jc w:val="both"/>
        <w:rPr>
          <w:sz w:val="28"/>
          <w:szCs w:val="28"/>
        </w:rPr>
      </w:pPr>
      <w:r>
        <w:rPr>
          <w:rFonts w:cs="Times New Roman" w:ascii="Times New Roman" w:hAnsi="Times New Roman"/>
          <w:sz w:val="28"/>
          <w:szCs w:val="28"/>
          <w:lang w:val="ru-RU"/>
        </w:rPr>
        <w:t>в посока фиксация. Под нейно влияние възникват механизми, които спират процеса на фиксиране на деформацията и дават възможности за известна корекция на кифотичната дъга.</w:t>
      </w:r>
      <w:r>
        <w:rPr>
          <w:rFonts w:cs="Times New Roman" w:ascii="Times New Roman" w:hAnsi="Times New Roman"/>
          <w:sz w:val="28"/>
          <w:szCs w:val="28"/>
          <w:lang w:val="en-US"/>
        </w:rPr>
        <w:t xml:space="preserve"> </w:t>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lang w:val="en-US"/>
        </w:rPr>
        <w:object w:dxaOrig="8820" w:dyaOrig="2880">
          <v:shapetype id="_x0000_tole_rId4" coordsize="21600,21600" o:spt="ole_rId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 type="_x0000_tole_rId4" style="width:440.85pt;height:144pt" filled="f" o:ole="">
            <v:imagedata r:id="rId5" o:title=""/>
          </v:shape>
          <o:OLEObject Type="Embed" ProgID="" ShapeID="ole_rId4" DrawAspect="Content" ObjectID="_1167970990" r:id="rId4"/>
        </w:object>
      </w:r>
    </w:p>
    <w:p>
      <w:pPr>
        <w:pStyle w:val="PlainText"/>
        <w:spacing w:lineRule="auto" w:line="360"/>
        <w:jc w:val="center"/>
        <w:rPr>
          <w:sz w:val="28"/>
          <w:szCs w:val="28"/>
        </w:rPr>
      </w:pPr>
      <w:r>
        <w:rPr>
          <w:rFonts w:cs="Times New Roman" w:ascii="Times New Roman" w:hAnsi="Times New Roman"/>
          <w:b/>
          <w:sz w:val="28"/>
          <w:szCs w:val="28"/>
          <w:lang w:val="ru-RU"/>
        </w:rPr>
      </w:r>
    </w:p>
    <w:p>
      <w:pPr>
        <w:pStyle w:val="PlainText"/>
        <w:spacing w:lineRule="auto" w:line="360"/>
        <w:jc w:val="center"/>
        <w:rPr>
          <w:sz w:val="28"/>
          <w:szCs w:val="28"/>
        </w:rPr>
      </w:pPr>
      <w:r>
        <w:rPr>
          <w:rFonts w:cs="Times New Roman" w:ascii="Times New Roman" w:hAnsi="Times New Roman"/>
          <w:b/>
          <w:sz w:val="28"/>
          <w:szCs w:val="28"/>
          <w:lang w:val="ru-RU"/>
        </w:rPr>
        <w:t>Резултати от изследването височината на кифотичната деформация</w:t>
      </w:r>
    </w:p>
    <w:p>
      <w:pPr>
        <w:pStyle w:val="PlainText"/>
        <w:spacing w:lineRule="auto" w:line="360"/>
        <w:jc w:val="both"/>
        <w:rPr>
          <w:sz w:val="28"/>
          <w:szCs w:val="28"/>
        </w:rPr>
      </w:pPr>
      <w:r>
        <w:rPr>
          <w:rFonts w:cs="Times New Roman" w:ascii="Times New Roman" w:hAnsi="Times New Roman"/>
          <w:sz w:val="28"/>
          <w:szCs w:val="28"/>
          <w:lang w:val="ru-RU"/>
        </w:rPr>
        <w:t>Сравнявайки началните резултати на височината на кифозата на учениците от група А и Б се установи, че разликите в стойностите са незначителни.</w:t>
      </w:r>
    </w:p>
    <w:p>
      <w:pPr>
        <w:pStyle w:val="PlainText"/>
        <w:spacing w:lineRule="auto" w:line="360"/>
        <w:jc w:val="both"/>
        <w:rPr>
          <w:sz w:val="28"/>
          <w:szCs w:val="28"/>
        </w:rPr>
      </w:pPr>
      <w:r>
        <w:rPr>
          <w:rFonts w:cs="Times New Roman" w:ascii="Times New Roman" w:hAnsi="Times New Roman"/>
          <w:sz w:val="28"/>
          <w:szCs w:val="28"/>
          <w:lang w:val="ru-RU"/>
        </w:rPr>
        <w:t xml:space="preserve">При съпоставянето на крайните с началните резултати при контролната група се установи прираст - 0,643 в крайното изследване при </w:t>
      </w:r>
      <w:r>
        <w:rPr>
          <w:rFonts w:cs="Times New Roman" w:ascii="Times New Roman" w:hAnsi="Times New Roman"/>
          <w:sz w:val="28"/>
          <w:szCs w:val="28"/>
          <w:lang w:val="en-US"/>
        </w:rPr>
        <w:t>t</w:t>
      </w:r>
      <w:r>
        <w:rPr>
          <w:rFonts w:cs="Times New Roman" w:ascii="Times New Roman" w:hAnsi="Times New Roman"/>
          <w:sz w:val="28"/>
          <w:szCs w:val="28"/>
          <w:lang w:val="ru-RU"/>
        </w:rPr>
        <w:t xml:space="preserve">-1,89 т.е. статистически недостоверна разлика. Резултатите получени в работната група показват прираст 0,857 с достоверна статистическа разлика при </w:t>
      </w:r>
      <w:r>
        <w:rPr>
          <w:rFonts w:cs="Times New Roman" w:ascii="Times New Roman" w:hAnsi="Times New Roman"/>
          <w:sz w:val="28"/>
          <w:szCs w:val="28"/>
          <w:lang w:val="en-US"/>
        </w:rPr>
        <w:t>t</w:t>
      </w:r>
      <w:r>
        <w:rPr>
          <w:rFonts w:cs="Times New Roman" w:ascii="Times New Roman" w:hAnsi="Times New Roman"/>
          <w:sz w:val="28"/>
          <w:szCs w:val="28"/>
          <w:lang w:val="ru-RU"/>
        </w:rPr>
        <w:t>-3,286</w:t>
      </w:r>
    </w:p>
    <w:p>
      <w:pPr>
        <w:pStyle w:val="PlainText"/>
        <w:spacing w:lineRule="auto" w:line="360"/>
        <w:jc w:val="both"/>
        <w:rPr>
          <w:sz w:val="28"/>
          <w:szCs w:val="28"/>
        </w:rPr>
      </w:pPr>
      <w:r>
        <w:rPr>
          <w:rFonts w:cs="Times New Roman" w:ascii="Times New Roman" w:hAnsi="Times New Roman"/>
          <w:sz w:val="28"/>
          <w:szCs w:val="28"/>
          <w:lang w:val="ru-RU"/>
        </w:rPr>
        <w:t>Сравнявайки стойностите получени в края на проучването на контингентите от двете групи се установява значителна разлика в прираста от 0,214 в полза на група А. Увеличената величина на деформация в крайното изследване на учениците от група А ни дава основание да приемем че, правилно дозираните и разпределени по време екстензионни упражнения, ПИР на пекторалната мускулатура, мускул трапециус и мускулатурата на тазовия пояс в съчетание с изометрична силова тренировка на екстензорите на трупа са повлияли благоприятно функционалните възможности на гръбначния стълб в посока забавяне и спиране процеса на фиксация на кифотичната деформация. Значително намалена е асиметрията в установения в началото на проучването мускулен тонус. Това допълнително позитивира тенденцията за коригиране на деформитета във възможни граници и е в корелация с промените в динамиката на тежестта на кифозата.</w:t>
      </w:r>
    </w:p>
    <w:p>
      <w:pPr>
        <w:pStyle w:val="PlainText"/>
        <w:spacing w:lineRule="auto" w:line="360"/>
        <w:jc w:val="both"/>
        <w:rPr>
          <w:sz w:val="28"/>
          <w:szCs w:val="28"/>
        </w:rPr>
      </w:pPr>
      <w:r>
        <w:rPr>
          <w:rFonts w:cs="Times New Roman" w:ascii="Times New Roman" w:hAnsi="Times New Roman"/>
          <w:sz w:val="28"/>
          <w:szCs w:val="28"/>
          <w:lang w:val="en-US"/>
        </w:rPr>
      </w:r>
    </w:p>
    <w:p>
      <w:pPr>
        <w:pStyle w:val="PlainText"/>
        <w:spacing w:lineRule="auto" w:line="360"/>
        <w:jc w:val="center"/>
        <w:rPr>
          <w:sz w:val="28"/>
          <w:szCs w:val="28"/>
        </w:rPr>
      </w:pPr>
      <w:r>
        <w:rPr>
          <w:rFonts w:cs="Times New Roman" w:ascii="Times New Roman" w:hAnsi="Times New Roman"/>
          <w:sz w:val="28"/>
          <w:szCs w:val="28"/>
          <w:lang w:val="en-US"/>
        </w:rPr>
        <w:object w:dxaOrig="8820" w:dyaOrig="2880">
          <v:shapetype id="_x0000_tole_rId6" coordsize="21600,21600" o:spt="ole_rId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6" type="_x0000_tole_rId6" style="width:440.85pt;height:144pt" filled="f" o:ole="">
            <v:imagedata r:id="rId7" o:title=""/>
          </v:shape>
          <o:OLEObject Type="Embed" ProgID="" ShapeID="ole_rId6" DrawAspect="Content" ObjectID="_114593928" r:id="rId6"/>
        </w:object>
      </w:r>
    </w:p>
    <w:p>
      <w:pPr>
        <w:pStyle w:val="PlainText"/>
        <w:spacing w:lineRule="auto" w:line="360"/>
        <w:jc w:val="center"/>
        <w:rPr>
          <w:sz w:val="28"/>
          <w:szCs w:val="28"/>
        </w:rPr>
      </w:pPr>
      <w:r>
        <w:rPr>
          <w:rFonts w:cs="Times New Roman" w:ascii="Times New Roman" w:hAnsi="Times New Roman"/>
          <w:sz w:val="28"/>
          <w:szCs w:val="28"/>
        </w:rPr>
      </w:r>
    </w:p>
    <w:p>
      <w:pPr>
        <w:pStyle w:val="PlainText"/>
        <w:spacing w:lineRule="auto" w:line="360"/>
        <w:jc w:val="center"/>
        <w:rPr>
          <w:sz w:val="28"/>
          <w:szCs w:val="28"/>
        </w:rPr>
      </w:pPr>
      <w:r>
        <w:rPr>
          <w:rFonts w:cs="Times New Roman" w:ascii="Times New Roman" w:hAnsi="Times New Roman"/>
          <w:b/>
          <w:sz w:val="28"/>
          <w:szCs w:val="28"/>
          <w:lang w:val="ru-RU"/>
        </w:rPr>
        <w:t>Резултати от изследването на подвижността на гръдния дял на</w:t>
      </w:r>
      <w:r>
        <w:rPr>
          <w:rFonts w:cs="Times New Roman" w:ascii="Times New Roman" w:hAnsi="Times New Roman"/>
          <w:sz w:val="28"/>
          <w:szCs w:val="28"/>
          <w:lang w:val="ru-RU"/>
        </w:rPr>
        <w:t xml:space="preserve"> </w:t>
      </w:r>
      <w:r>
        <w:rPr>
          <w:rFonts w:cs="Times New Roman" w:ascii="Times New Roman" w:hAnsi="Times New Roman"/>
          <w:b/>
          <w:sz w:val="28"/>
          <w:szCs w:val="28"/>
          <w:lang w:val="ru-RU"/>
        </w:rPr>
        <w:t>гръбначния стълб и гръдния кош</w:t>
      </w:r>
    </w:p>
    <w:p>
      <w:pPr>
        <w:pStyle w:val="PlainText"/>
        <w:spacing w:lineRule="auto" w:line="360"/>
        <w:jc w:val="both"/>
        <w:rPr>
          <w:sz w:val="28"/>
          <w:szCs w:val="28"/>
        </w:rPr>
      </w:pPr>
      <w:r>
        <w:rPr>
          <w:rFonts w:cs="Times New Roman" w:ascii="Times New Roman" w:hAnsi="Times New Roman"/>
          <w:sz w:val="28"/>
          <w:szCs w:val="28"/>
          <w:lang w:val="ru-RU"/>
        </w:rPr>
        <w:t>Данните от началните стойности на подвижността на гръбначния стълб в гръден дял показват дефицит в този показател. И при двете групи величините са незначителни и недостоверни.</w:t>
      </w:r>
    </w:p>
    <w:p>
      <w:pPr>
        <w:pStyle w:val="PlainText"/>
        <w:spacing w:lineRule="auto" w:line="360"/>
        <w:jc w:val="both"/>
        <w:rPr>
          <w:sz w:val="28"/>
          <w:szCs w:val="28"/>
        </w:rPr>
      </w:pPr>
      <w:r>
        <w:rPr>
          <w:rFonts w:cs="Times New Roman" w:ascii="Times New Roman" w:hAnsi="Times New Roman"/>
          <w:sz w:val="28"/>
          <w:szCs w:val="28"/>
          <w:lang w:val="ru-RU"/>
        </w:rPr>
        <w:t xml:space="preserve">При съпоставянето на крайните с началните резултати в контролната група се установи прираст 0,071 при </w:t>
      </w:r>
      <w:r>
        <w:rPr>
          <w:rFonts w:cs="Times New Roman" w:ascii="Times New Roman" w:hAnsi="Times New Roman"/>
          <w:sz w:val="28"/>
          <w:szCs w:val="28"/>
          <w:lang w:val="en-US"/>
        </w:rPr>
        <w:t>t-</w:t>
      </w:r>
      <w:r>
        <w:rPr>
          <w:rFonts w:cs="Times New Roman" w:ascii="Times New Roman" w:hAnsi="Times New Roman"/>
          <w:sz w:val="28"/>
          <w:szCs w:val="28"/>
          <w:lang w:val="ru-RU"/>
        </w:rPr>
        <w:t xml:space="preserve">0,420. Очевидно е задържането на нивото на подвижност с тенденция към известни индивидуални колебания. Значим и статистически достоверен е прирастът в работната група - 0,814 при </w:t>
      </w:r>
      <w:r>
        <w:rPr>
          <w:rFonts w:cs="Times New Roman" w:ascii="Times New Roman" w:hAnsi="Times New Roman"/>
          <w:sz w:val="28"/>
          <w:szCs w:val="28"/>
          <w:lang w:val="en-US"/>
        </w:rPr>
        <w:t>t</w:t>
      </w:r>
      <w:r>
        <w:rPr>
          <w:rFonts w:cs="Times New Roman" w:ascii="Times New Roman" w:hAnsi="Times New Roman"/>
          <w:sz w:val="28"/>
          <w:szCs w:val="28"/>
        </w:rPr>
        <w:t xml:space="preserve"> </w:t>
      </w:r>
      <w:r>
        <w:rPr>
          <w:rFonts w:cs="Times New Roman" w:ascii="Times New Roman" w:hAnsi="Times New Roman"/>
          <w:sz w:val="28"/>
          <w:szCs w:val="28"/>
          <w:lang w:val="ru-RU"/>
        </w:rPr>
        <w:t>- 4,24.</w:t>
      </w:r>
    </w:p>
    <w:p>
      <w:pPr>
        <w:pStyle w:val="PlainText"/>
        <w:spacing w:lineRule="auto" w:line="360"/>
        <w:jc w:val="both"/>
        <w:rPr>
          <w:sz w:val="28"/>
          <w:szCs w:val="28"/>
        </w:rPr>
      </w:pPr>
      <w:r>
        <w:rPr>
          <w:rFonts w:cs="Times New Roman" w:ascii="Times New Roman" w:hAnsi="Times New Roman"/>
          <w:sz w:val="28"/>
          <w:szCs w:val="28"/>
          <w:lang w:val="ru-RU"/>
        </w:rPr>
        <w:t>Увеличената подвижност на гръбначния стълб в крайното изследване на учениците от група А ни дава основание да приемем, че: автомобилизацията на гръдния дял в съчетание с упражненията за огьвкавяване и ПИР на съкратените мускули са повлияли благоприятно мускулно - лигаментарния комплекс, с което в значителна степен са се подобрили движенията му.</w:t>
      </w:r>
    </w:p>
    <w:p>
      <w:pPr>
        <w:pStyle w:val="PlainText"/>
        <w:spacing w:lineRule="auto" w:line="360"/>
        <w:jc w:val="both"/>
        <w:rPr>
          <w:sz w:val="28"/>
          <w:szCs w:val="28"/>
        </w:rPr>
      </w:pPr>
      <w:r>
        <w:rPr>
          <w:rFonts w:cs="Times New Roman" w:ascii="Times New Roman" w:hAnsi="Times New Roman"/>
          <w:sz w:val="28"/>
          <w:szCs w:val="28"/>
          <w:lang w:val="en-US"/>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lang w:val="en-US"/>
        </w:rPr>
        <w:object w:dxaOrig="8820" w:dyaOrig="2880">
          <v:shapetype id="_x0000_tole_rId8" coordsize="21600,21600" o:spt="ole_rId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8" type="_x0000_tole_rId8" style="width:440.85pt;height:144pt" filled="f" o:ole="">
            <v:imagedata r:id="rId9" o:title=""/>
          </v:shape>
          <o:OLEObject Type="Embed" ProgID="" ShapeID="ole_rId8" DrawAspect="Content" ObjectID="_450493013" r:id="rId8"/>
        </w:object>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center"/>
        <w:rPr>
          <w:sz w:val="28"/>
          <w:szCs w:val="28"/>
        </w:rPr>
      </w:pPr>
      <w:r>
        <w:rPr>
          <w:rFonts w:cs="Times New Roman" w:ascii="Times New Roman" w:hAnsi="Times New Roman"/>
          <w:b/>
          <w:sz w:val="28"/>
          <w:szCs w:val="28"/>
          <w:lang w:val="ru-RU"/>
        </w:rPr>
        <w:t>Резултатите от изследването подвижността на гръдния кош</w:t>
      </w:r>
    </w:p>
    <w:p>
      <w:pPr>
        <w:pStyle w:val="PlainText"/>
        <w:spacing w:lineRule="auto" w:line="360"/>
        <w:ind w:firstLine="708"/>
        <w:jc w:val="both"/>
        <w:rPr>
          <w:sz w:val="28"/>
          <w:szCs w:val="28"/>
        </w:rPr>
      </w:pPr>
      <w:r>
        <w:rPr>
          <w:rFonts w:cs="Times New Roman" w:ascii="Times New Roman" w:hAnsi="Times New Roman"/>
          <w:sz w:val="28"/>
          <w:szCs w:val="28"/>
          <w:lang w:val="ru-RU"/>
        </w:rPr>
        <w:t xml:space="preserve">Аналогична е интерпретацията и анализа на резултатите от изследването подвижността на гръдния кош. При този показател прираста в група Б е 0,257 при </w:t>
      </w:r>
      <w:r>
        <w:rPr>
          <w:rFonts w:cs="Times New Roman" w:ascii="Times New Roman" w:hAnsi="Times New Roman"/>
          <w:sz w:val="28"/>
          <w:szCs w:val="28"/>
          <w:lang w:val="en-US"/>
        </w:rPr>
        <w:t>t</w:t>
      </w:r>
      <w:r>
        <w:rPr>
          <w:rFonts w:cs="Times New Roman" w:ascii="Times New Roman" w:hAnsi="Times New Roman"/>
          <w:sz w:val="28"/>
          <w:szCs w:val="28"/>
          <w:lang w:val="ru-RU"/>
        </w:rPr>
        <w:t xml:space="preserve">- 2,03 срещу </w:t>
      </w:r>
      <w:r>
        <w:rPr>
          <w:rFonts w:cs="Times New Roman" w:ascii="Times New Roman" w:hAnsi="Times New Roman"/>
          <w:sz w:val="28"/>
          <w:szCs w:val="28"/>
          <w:lang w:val="en-US"/>
        </w:rPr>
        <w:t>1</w:t>
      </w:r>
      <w:r>
        <w:rPr>
          <w:rFonts w:cs="Times New Roman" w:ascii="Times New Roman" w:hAnsi="Times New Roman"/>
          <w:sz w:val="28"/>
          <w:szCs w:val="28"/>
          <w:lang w:val="ru-RU"/>
        </w:rPr>
        <w:t xml:space="preserve">,214 при </w:t>
      </w:r>
      <w:r>
        <w:rPr>
          <w:rFonts w:cs="Times New Roman" w:ascii="Times New Roman" w:hAnsi="Times New Roman"/>
          <w:sz w:val="28"/>
          <w:szCs w:val="28"/>
          <w:lang w:val="en-US"/>
        </w:rPr>
        <w:t>t</w:t>
      </w:r>
      <w:r>
        <w:rPr>
          <w:rFonts w:cs="Times New Roman" w:ascii="Times New Roman" w:hAnsi="Times New Roman"/>
          <w:sz w:val="28"/>
          <w:szCs w:val="28"/>
          <w:lang w:val="ru-RU"/>
        </w:rPr>
        <w:t xml:space="preserve"> - 6,873 за група А.</w:t>
      </w:r>
    </w:p>
    <w:p>
      <w:pPr>
        <w:pStyle w:val="PlainText"/>
        <w:spacing w:lineRule="auto" w:line="360"/>
        <w:ind w:firstLine="708"/>
        <w:jc w:val="both"/>
        <w:rPr>
          <w:sz w:val="28"/>
          <w:szCs w:val="28"/>
        </w:rPr>
      </w:pPr>
      <w:r>
        <w:rPr>
          <w:rFonts w:cs="Times New Roman" w:ascii="Times New Roman" w:hAnsi="Times New Roman"/>
          <w:sz w:val="28"/>
          <w:szCs w:val="28"/>
          <w:lang w:val="ru-RU"/>
        </w:rPr>
        <w:t>Очевидната разлика в полза на група А е логичен резултат от прилагането на експериментираните методи. Увеличената подвижност на гръдния кош показва добра тенденция за деблокирането му и тясно кореспондира с получената подвижност в гръдния дял на гръбначния стълб.</w:t>
      </w:r>
    </w:p>
    <w:p>
      <w:pPr>
        <w:pStyle w:val="PlainText"/>
        <w:spacing w:lineRule="auto" w:line="360"/>
        <w:jc w:val="both"/>
        <w:rPr>
          <w:sz w:val="28"/>
          <w:szCs w:val="28"/>
        </w:rPr>
      </w:pPr>
      <w:r>
        <w:rPr>
          <w:rFonts w:cs="Times New Roman" w:ascii="Times New Roman" w:hAnsi="Times New Roman"/>
          <w:sz w:val="28"/>
          <w:szCs w:val="28"/>
          <w:lang w:val="en-US"/>
        </w:rPr>
      </w:r>
    </w:p>
    <w:p>
      <w:pPr>
        <w:pStyle w:val="PlainText"/>
        <w:spacing w:lineRule="auto" w:line="360"/>
        <w:jc w:val="both"/>
        <w:rPr>
          <w:sz w:val="28"/>
          <w:szCs w:val="28"/>
        </w:rPr>
      </w:pPr>
      <w:r>
        <w:rPr>
          <w:rFonts w:cs="Times New Roman" w:ascii="Times New Roman" w:hAnsi="Times New Roman"/>
          <w:sz w:val="28"/>
          <w:szCs w:val="28"/>
          <w:lang w:val="en-US"/>
        </w:rPr>
        <w:object w:dxaOrig="8820" w:dyaOrig="2880">
          <v:shapetype id="_x0000_tole_rId10" coordsize="21600,21600" o:spt="ole_rId1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0" type="_x0000_tole_rId10" style="width:440.85pt;height:144pt" filled="f" o:ole="">
            <v:imagedata r:id="rId11" o:title=""/>
          </v:shape>
          <o:OLEObject Type="Embed" ProgID="" ShapeID="ole_rId10" DrawAspect="Content" ObjectID="_2120725699" r:id="rId10"/>
        </w:object>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center"/>
        <w:rPr>
          <w:sz w:val="28"/>
          <w:szCs w:val="28"/>
        </w:rPr>
      </w:pPr>
      <w:r>
        <w:rPr>
          <w:rFonts w:cs="Times New Roman" w:ascii="Times New Roman" w:hAnsi="Times New Roman"/>
          <w:b/>
          <w:sz w:val="28"/>
          <w:szCs w:val="28"/>
          <w:lang w:val="ru-RU"/>
        </w:rPr>
        <w:t>Резултати от изследването силова издържливост на гръбна мускулатура</w:t>
      </w:r>
    </w:p>
    <w:p>
      <w:pPr>
        <w:pStyle w:val="PlainText"/>
        <w:spacing w:lineRule="auto" w:line="360"/>
        <w:ind w:firstLine="708"/>
        <w:jc w:val="both"/>
        <w:rPr>
          <w:sz w:val="28"/>
          <w:szCs w:val="28"/>
        </w:rPr>
      </w:pPr>
      <w:r>
        <w:rPr>
          <w:rFonts w:cs="Times New Roman" w:ascii="Times New Roman" w:hAnsi="Times New Roman"/>
          <w:sz w:val="28"/>
          <w:szCs w:val="28"/>
          <w:lang w:val="ru-RU"/>
        </w:rPr>
        <w:t>Особено надеждни и достоверни са резултатите от крайните изследвания за мускулна сила на паравертебралната мускулатура. В крайното изследване прирастите са както следва:</w:t>
      </w:r>
    </w:p>
    <w:p>
      <w:pPr>
        <w:pStyle w:val="PlainText"/>
        <w:spacing w:lineRule="auto" w:line="360"/>
        <w:jc w:val="both"/>
        <w:rPr>
          <w:sz w:val="28"/>
          <w:szCs w:val="28"/>
        </w:rPr>
      </w:pPr>
      <w:r>
        <w:rPr>
          <w:rFonts w:cs="Times New Roman" w:ascii="Times New Roman" w:hAnsi="Times New Roman"/>
          <w:sz w:val="28"/>
          <w:szCs w:val="28"/>
          <w:lang w:val="ru-RU"/>
        </w:rPr>
        <w:t xml:space="preserve">за група А - 20,714 с </w:t>
      </w:r>
      <w:r>
        <w:rPr>
          <w:rFonts w:cs="Times New Roman" w:ascii="Times New Roman" w:hAnsi="Times New Roman"/>
          <w:sz w:val="28"/>
          <w:szCs w:val="28"/>
          <w:lang w:val="en-US"/>
        </w:rPr>
        <w:t>t</w:t>
      </w:r>
      <w:r>
        <w:rPr>
          <w:rFonts w:cs="Times New Roman" w:ascii="Times New Roman" w:hAnsi="Times New Roman"/>
          <w:sz w:val="28"/>
          <w:szCs w:val="28"/>
          <w:lang w:val="ru-RU"/>
        </w:rPr>
        <w:t xml:space="preserve">- 8,148 и за група Б - 14,857 с </w:t>
      </w:r>
      <w:r>
        <w:rPr>
          <w:rFonts w:cs="Times New Roman" w:ascii="Times New Roman" w:hAnsi="Times New Roman"/>
          <w:sz w:val="28"/>
          <w:szCs w:val="28"/>
          <w:lang w:val="en-US"/>
        </w:rPr>
        <w:t>t</w:t>
      </w:r>
      <w:r>
        <w:rPr>
          <w:rFonts w:cs="Times New Roman" w:ascii="Times New Roman" w:hAnsi="Times New Roman"/>
          <w:sz w:val="28"/>
          <w:szCs w:val="28"/>
          <w:lang w:val="ru-RU"/>
        </w:rPr>
        <w:t>- 4,211. Отново се регистрират по-добри резултати в група А. Разликата в прираста между двете групи би могла да бъде обяснена с прилагането на техниките за</w:t>
      </w:r>
    </w:p>
    <w:p>
      <w:pPr>
        <w:pStyle w:val="PlainText"/>
        <w:spacing w:lineRule="auto" w:line="360"/>
        <w:jc w:val="both"/>
        <w:rPr>
          <w:sz w:val="28"/>
          <w:szCs w:val="28"/>
        </w:rPr>
      </w:pPr>
      <w:r>
        <w:rPr>
          <w:rFonts w:cs="Times New Roman" w:ascii="Times New Roman" w:hAnsi="Times New Roman"/>
          <w:sz w:val="28"/>
          <w:szCs w:val="28"/>
          <w:lang w:val="ru-RU"/>
        </w:rPr>
        <w:t>релаксиране и автомобилизация в работната група. Известният от физиологията на мускулното съкращение феномен, че мускулното влакно развива оптимална сила на съкращение ако предварително е в пълна релаксация е в основата на постигнатата по-голяма сила при изометричните контракции на екстензорите на трупа.</w:t>
      </w:r>
    </w:p>
    <w:p>
      <w:pPr>
        <w:pStyle w:val="PlainText"/>
        <w:spacing w:lineRule="auto" w:line="360"/>
        <w:ind w:firstLine="708"/>
        <w:jc w:val="both"/>
        <w:rPr>
          <w:sz w:val="28"/>
          <w:szCs w:val="28"/>
        </w:rPr>
      </w:pPr>
      <w:r>
        <w:rPr>
          <w:rFonts w:cs="Times New Roman" w:ascii="Times New Roman" w:hAnsi="Times New Roman"/>
          <w:sz w:val="28"/>
          <w:szCs w:val="28"/>
          <w:lang w:val="ru-RU"/>
        </w:rPr>
        <w:t>Установената от нас повишена силова издържливост на тръбната мускулатура е адекватен отговор на физическите натоварвания от експерименталните методи. Факт с определено значение за определяне добрата реактивност на опорно двигателния апарат към тях.</w:t>
      </w:r>
    </w:p>
    <w:p>
      <w:pPr>
        <w:pStyle w:val="PlainText"/>
        <w:spacing w:lineRule="auto" w:line="360"/>
        <w:jc w:val="both"/>
        <w:rPr>
          <w:sz w:val="28"/>
          <w:szCs w:val="28"/>
        </w:rPr>
      </w:pPr>
      <w:r>
        <w:rPr>
          <w:rFonts w:cs="Times New Roman" w:ascii="Times New Roman" w:hAnsi="Times New Roman"/>
          <w:sz w:val="28"/>
          <w:szCs w:val="28"/>
          <w:lang w:val="en-US"/>
        </w:rPr>
      </w:r>
    </w:p>
    <w:p>
      <w:pPr>
        <w:pStyle w:val="PlainText"/>
        <w:spacing w:lineRule="auto" w:line="360"/>
        <w:jc w:val="both"/>
        <w:rPr>
          <w:sz w:val="28"/>
          <w:szCs w:val="28"/>
        </w:rPr>
      </w:pPr>
      <w:r>
        <w:rPr>
          <w:rFonts w:cs="Times New Roman" w:ascii="Times New Roman" w:hAnsi="Times New Roman"/>
          <w:sz w:val="28"/>
          <w:szCs w:val="28"/>
          <w:lang w:val="en-US"/>
        </w:rPr>
        <w:object w:dxaOrig="8820" w:dyaOrig="2880">
          <v:shapetype id="_x0000_tole_rId12" coordsize="21600,21600" o:spt="ole_rId1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2" type="_x0000_tole_rId12" style="width:440.85pt;height:144pt" filled="f" o:ole="">
            <v:imagedata r:id="rId13" o:title=""/>
          </v:shape>
          <o:OLEObject Type="Embed" ProgID="" ShapeID="ole_rId12" DrawAspect="Content" ObjectID="_68531874" r:id="rId12"/>
        </w:object>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both"/>
        <w:rPr>
          <w:sz w:val="28"/>
          <w:szCs w:val="28"/>
        </w:rPr>
      </w:pPr>
      <w:r>
        <w:rPr>
          <w:rFonts w:cs="Times New Roman" w:ascii="Times New Roman" w:hAnsi="Times New Roman"/>
          <w:sz w:val="28"/>
          <w:szCs w:val="28"/>
        </w:rPr>
      </w:r>
    </w:p>
    <w:p>
      <w:pPr>
        <w:pStyle w:val="PlainText"/>
        <w:spacing w:lineRule="auto" w:line="360"/>
        <w:jc w:val="center"/>
        <w:rPr>
          <w:sz w:val="28"/>
          <w:szCs w:val="28"/>
        </w:rPr>
      </w:pPr>
      <w:r>
        <w:rPr>
          <w:rFonts w:cs="Times New Roman" w:ascii="Times New Roman" w:hAnsi="Times New Roman"/>
          <w:b/>
          <w:sz w:val="28"/>
          <w:szCs w:val="28"/>
          <w:lang w:val="ru-RU"/>
        </w:rPr>
        <w:t>Резултати от изследването за силова издържливост на коремна мускулатура</w:t>
      </w:r>
    </w:p>
    <w:p>
      <w:pPr>
        <w:pStyle w:val="PlainText"/>
        <w:spacing w:lineRule="auto" w:line="360"/>
        <w:ind w:firstLine="708"/>
        <w:jc w:val="both"/>
        <w:rPr>
          <w:sz w:val="28"/>
          <w:szCs w:val="28"/>
        </w:rPr>
      </w:pPr>
      <w:r>
        <w:rPr>
          <w:rFonts w:cs="Times New Roman" w:ascii="Times New Roman" w:hAnsi="Times New Roman"/>
          <w:sz w:val="28"/>
          <w:szCs w:val="28"/>
          <w:lang w:val="ru-RU"/>
        </w:rPr>
        <w:t>От проведените в края на проучването изследвания за силова издържливост на коремната мускулатура се установява, че разликите в средните стойности са значителни и достоверни.</w:t>
      </w:r>
    </w:p>
    <w:p>
      <w:pPr>
        <w:pStyle w:val="PlainText"/>
        <w:spacing w:lineRule="auto" w:line="360"/>
        <w:ind w:firstLine="708"/>
        <w:jc w:val="both"/>
        <w:rPr>
          <w:sz w:val="28"/>
          <w:szCs w:val="28"/>
        </w:rPr>
      </w:pPr>
      <w:r>
        <w:rPr>
          <w:rFonts w:cs="Times New Roman" w:ascii="Times New Roman" w:hAnsi="Times New Roman"/>
          <w:sz w:val="28"/>
          <w:szCs w:val="28"/>
          <w:lang w:val="ru-RU"/>
        </w:rPr>
        <w:t>При сравнението на получените данни става известно, че прирастът в изследвания показател за група А е 35,14 докато при група Б той е 29,29. Разликата между двата прираста е категорична в полза на група А. Тя може да бъде обяснена с правилно разработената методика за силова издържливост на мускулатура стабилизираща гръбначния стълб, където състоянието на коремната мускулатура е от съществено значение.</w:t>
      </w:r>
    </w:p>
    <w:p>
      <w:pPr>
        <w:pStyle w:val="PlainText"/>
        <w:spacing w:lineRule="auto" w:line="360"/>
        <w:ind w:firstLine="708"/>
        <w:jc w:val="both"/>
        <w:rPr>
          <w:sz w:val="28"/>
          <w:szCs w:val="28"/>
        </w:rPr>
      </w:pPr>
      <w:r>
        <w:rPr>
          <w:rFonts w:cs="Times New Roman" w:ascii="Times New Roman" w:hAnsi="Times New Roman"/>
          <w:sz w:val="28"/>
          <w:szCs w:val="28"/>
          <w:lang w:val="ru-RU"/>
        </w:rPr>
        <w:t>Известно е, че физическите натоварвания насочени към развиване и усъвършенстване на качеството издържливост, предизвикват по-малко временни отколкото трайни промени в мускулния апарат. Физиологичните свойства на мускула се подобряват като мускулната работоспособност става оптимално голяма с най-голям коефициент на полезно действие.</w:t>
      </w:r>
    </w:p>
    <w:p>
      <w:pPr>
        <w:pStyle w:val="PlainText"/>
        <w:spacing w:lineRule="auto" w:line="360"/>
        <w:ind w:firstLine="708"/>
        <w:jc w:val="both"/>
        <w:rPr>
          <w:sz w:val="28"/>
          <w:szCs w:val="28"/>
        </w:rPr>
      </w:pPr>
      <w:r>
        <w:rPr>
          <w:rFonts w:cs="Times New Roman" w:ascii="Times New Roman" w:hAnsi="Times New Roman"/>
          <w:sz w:val="28"/>
          <w:szCs w:val="28"/>
          <w:lang w:val="ru-RU"/>
        </w:rPr>
        <w:t>В работната методика избрахме като средство за трениране на силова издържливост на коремната мускулатура упражнения за повдигане на трупа срещу гравитацията от изходно положение - свит  тилен лег в изометричен режим на мускулното съкращение. Работихме за всички мускули изграждащи коремната мускулатура. Цитираните по-горе резултати потвърждават ефективността от апробираната методика.</w:t>
      </w:r>
    </w:p>
    <w:p>
      <w:pPr>
        <w:pStyle w:val="PlainText"/>
        <w:spacing w:lineRule="auto" w:line="360"/>
        <w:jc w:val="both"/>
        <w:rPr>
          <w:sz w:val="28"/>
          <w:szCs w:val="28"/>
        </w:rPr>
      </w:pPr>
      <w:r>
        <w:rPr>
          <w:rFonts w:cs="Times New Roman" w:ascii="Times New Roman" w:hAnsi="Times New Roman"/>
          <w:sz w:val="28"/>
          <w:szCs w:val="28"/>
          <w:lang w:val="en-US"/>
        </w:rPr>
      </w:r>
    </w:p>
    <w:p>
      <w:pPr>
        <w:pStyle w:val="PlainText"/>
        <w:spacing w:lineRule="auto" w:line="360"/>
        <w:jc w:val="both"/>
        <w:rPr>
          <w:sz w:val="28"/>
          <w:szCs w:val="28"/>
        </w:rPr>
      </w:pPr>
      <w:r>
        <w:rPr>
          <w:rFonts w:cs="Times New Roman" w:ascii="Times New Roman" w:hAnsi="Times New Roman"/>
          <w:sz w:val="28"/>
          <w:szCs w:val="28"/>
          <w:lang w:val="en-US"/>
        </w:rPr>
        <w:object w:dxaOrig="8820" w:dyaOrig="2880">
          <v:shapetype id="_x0000_tole_rId14" coordsize="21600,21600" o:spt="ole_rId1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4" type="_x0000_tole_rId14" style="width:440.85pt;height:144pt" filled="f" o:ole="">
            <v:imagedata r:id="rId15" o:title=""/>
          </v:shape>
          <o:OLEObject Type="Embed" ProgID="" ShapeID="ole_rId14" DrawAspect="Content" ObjectID="_723190488" r:id="rId14"/>
        </w:object>
      </w:r>
    </w:p>
    <w:p>
      <w:pPr>
        <w:pStyle w:val="PlainText"/>
        <w:spacing w:lineRule="auto" w:line="360"/>
        <w:jc w:val="both"/>
        <w:rPr>
          <w:sz w:val="28"/>
          <w:szCs w:val="28"/>
        </w:rPr>
      </w:pPr>
      <w:r>
        <w:rPr>
          <w:rFonts w:cs="Times New Roman" w:ascii="Times New Roman" w:hAnsi="Times New Roman"/>
          <w:sz w:val="28"/>
          <w:szCs w:val="28"/>
          <w:lang w:val="en-US"/>
        </w:rPr>
      </w:r>
    </w:p>
    <w:p>
      <w:pPr>
        <w:pStyle w:val="PlainText"/>
        <w:spacing w:lineRule="auto" w:line="360"/>
        <w:jc w:val="center"/>
        <w:rPr>
          <w:sz w:val="28"/>
          <w:szCs w:val="28"/>
        </w:rPr>
      </w:pPr>
      <w:r>
        <w:rPr>
          <w:rFonts w:cs="Times New Roman" w:ascii="Times New Roman" w:hAnsi="Times New Roman"/>
          <w:b/>
          <w:sz w:val="28"/>
          <w:szCs w:val="28"/>
          <w:lang w:val="ru-RU"/>
        </w:rPr>
        <w:t>Резултати от изследването на комплексна оценка на скъсена ишиокрурална мускулата</w:t>
      </w:r>
    </w:p>
    <w:p>
      <w:pPr>
        <w:pStyle w:val="PlainText"/>
        <w:spacing w:lineRule="auto" w:line="360"/>
        <w:ind w:firstLine="708"/>
        <w:jc w:val="both"/>
        <w:rPr>
          <w:sz w:val="28"/>
          <w:szCs w:val="28"/>
        </w:rPr>
      </w:pPr>
      <w:r>
        <w:rPr>
          <w:rFonts w:cs="Times New Roman" w:ascii="Times New Roman" w:hAnsi="Times New Roman"/>
          <w:sz w:val="28"/>
          <w:szCs w:val="28"/>
          <w:lang w:val="ru-RU"/>
        </w:rPr>
        <w:t xml:space="preserve">Анализирайки резултатите можем да отчетем следните наблюдения и изводи. Коефециента на вариация </w:t>
      </w:r>
      <w:r>
        <w:rPr>
          <w:rFonts w:cs="Times New Roman" w:ascii="Times New Roman" w:hAnsi="Times New Roman"/>
          <w:sz w:val="28"/>
          <w:szCs w:val="28"/>
          <w:lang w:val="en-US"/>
        </w:rPr>
        <w:t>-V%</w:t>
      </w:r>
      <w:r>
        <w:rPr>
          <w:rFonts w:cs="Times New Roman" w:ascii="Times New Roman" w:hAnsi="Times New Roman"/>
          <w:sz w:val="28"/>
          <w:szCs w:val="28"/>
          <w:lang w:val="ru-RU"/>
        </w:rPr>
        <w:t xml:space="preserve"> намалява в крайните резултати и при група А и група Б. Същото се отнася и за стандартното отклонение- </w:t>
      </w:r>
      <w:r>
        <w:rPr>
          <w:rFonts w:cs="Times New Roman" w:ascii="Times New Roman" w:hAnsi="Times New Roman"/>
          <w:sz w:val="28"/>
          <w:szCs w:val="28"/>
          <w:lang w:val="en-US"/>
        </w:rPr>
        <w:t>S</w:t>
      </w:r>
      <w:r>
        <w:rPr>
          <w:rFonts w:cs="Times New Roman" w:ascii="Times New Roman" w:hAnsi="Times New Roman"/>
          <w:sz w:val="28"/>
          <w:szCs w:val="28"/>
        </w:rPr>
        <w:t>, което показва че еднородноста в извадките се повишава.</w:t>
      </w:r>
    </w:p>
    <w:p>
      <w:pPr>
        <w:pStyle w:val="PlainText"/>
        <w:spacing w:lineRule="auto" w:line="360"/>
        <w:jc w:val="both"/>
        <w:rPr>
          <w:sz w:val="28"/>
          <w:szCs w:val="28"/>
        </w:rPr>
      </w:pPr>
      <w:r>
        <w:rPr>
          <w:rFonts w:cs="Times New Roman" w:ascii="Times New Roman" w:hAnsi="Times New Roman"/>
          <w:sz w:val="28"/>
          <w:szCs w:val="28"/>
        </w:rPr>
        <w:tab/>
        <w:t xml:space="preserve">От сравнителния анализ </w:t>
      </w:r>
      <w:r>
        <w:rPr>
          <w:rFonts w:cs="Times New Roman" w:ascii="Times New Roman" w:hAnsi="Times New Roman"/>
          <w:sz w:val="28"/>
          <w:szCs w:val="28"/>
          <w:lang w:val="en-US"/>
        </w:rPr>
        <w:t>t</w:t>
      </w:r>
      <w:r>
        <w:rPr>
          <w:rFonts w:cs="Times New Roman" w:ascii="Times New Roman" w:hAnsi="Times New Roman"/>
          <w:sz w:val="28"/>
          <w:szCs w:val="28"/>
        </w:rPr>
        <w:t xml:space="preserve"> </w:t>
      </w:r>
      <w:r>
        <w:rPr>
          <w:rFonts w:cs="Times New Roman" w:ascii="Times New Roman" w:hAnsi="Times New Roman"/>
          <w:sz w:val="28"/>
          <w:szCs w:val="28"/>
          <w:lang w:val="en-US"/>
        </w:rPr>
        <w:t>-</w:t>
      </w:r>
      <w:r>
        <w:rPr>
          <w:rFonts w:cs="Times New Roman" w:ascii="Times New Roman" w:hAnsi="Times New Roman"/>
          <w:sz w:val="28"/>
          <w:szCs w:val="28"/>
        </w:rPr>
        <w:t xml:space="preserve"> критерия (3,130 за група А и 3,133 за група Б.) е над нивото на значимост следователно има достоверен прираст.</w:t>
      </w:r>
    </w:p>
    <w:p>
      <w:pPr>
        <w:pStyle w:val="PlainText"/>
        <w:spacing w:lineRule="auto" w:line="360"/>
        <w:ind w:firstLine="708"/>
        <w:jc w:val="both"/>
        <w:rPr>
          <w:sz w:val="28"/>
          <w:szCs w:val="28"/>
        </w:rPr>
      </w:pPr>
      <w:r>
        <w:rPr>
          <w:rFonts w:cs="Times New Roman" w:ascii="Times New Roman" w:hAnsi="Times New Roman"/>
          <w:sz w:val="28"/>
          <w:szCs w:val="28"/>
        </w:rPr>
        <w:t>Прираста в работата група А (5,000) най – ясно показва влиянието на кнезитерапевтичната намеса за намалявяне степента на скъсеност на ишиокруралната мускулатура и адекватноста на прилаганите средства.</w:t>
      </w:r>
    </w:p>
    <w:p>
      <w:pPr>
        <w:pStyle w:val="Normal"/>
        <w:spacing w:lineRule="auto" w:line="360"/>
        <w:jc w:val="both"/>
        <w:rPr>
          <w:sz w:val="28"/>
          <w:szCs w:val="28"/>
        </w:rPr>
      </w:pPr>
      <w:r>
        <w:rPr>
          <w:rFonts w:cs="Times New Roman"/>
          <w:sz w:val="28"/>
          <w:szCs w:val="28"/>
        </w:rPr>
      </w:r>
    </w:p>
    <w:p>
      <w:pPr>
        <w:pStyle w:val="Normal"/>
        <w:spacing w:lineRule="auto" w:line="360"/>
        <w:jc w:val="both"/>
        <w:rPr>
          <w:sz w:val="28"/>
          <w:szCs w:val="28"/>
        </w:rPr>
      </w:pPr>
      <w:r>
        <w:rPr>
          <w:sz w:val="28"/>
          <w:szCs w:val="28"/>
        </w:rPr>
      </w:r>
    </w:p>
    <w:p>
      <w:pPr>
        <w:pStyle w:val="PlainText"/>
        <w:spacing w:lineRule="auto" w:line="360"/>
        <w:jc w:val="both"/>
        <w:rPr>
          <w:sz w:val="28"/>
          <w:szCs w:val="28"/>
        </w:rPr>
      </w:pPr>
      <w:r>
        <w:rPr>
          <w:rFonts w:cs="Times New Roman" w:ascii="Times New Roman" w:hAnsi="Times New Roman"/>
          <w:sz w:val="28"/>
          <w:szCs w:val="28"/>
          <w:lang w:val="en-US"/>
        </w:rPr>
      </w:r>
    </w:p>
    <w:p>
      <w:pPr>
        <w:pStyle w:val="Normal"/>
        <w:spacing w:lineRule="auto" w:line="360"/>
        <w:jc w:val="both"/>
        <w:rPr>
          <w:sz w:val="28"/>
          <w:szCs w:val="28"/>
        </w:rPr>
      </w:pPr>
      <w:r>
        <w:rPr>
          <w:sz w:val="28"/>
          <w:szCs w:val="28"/>
          <w:lang w:val="en-US"/>
        </w:rPr>
        <w:object w:dxaOrig="8820" w:dyaOrig="2880">
          <v:shapetype id="_x0000_tole_rId16" coordsize="21600,21600" o:spt="ole_rId1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6" type="_x0000_tole_rId16" style="width:440.85pt;height:144pt" filled="f" o:ole="">
            <v:imagedata r:id="rId17" o:title=""/>
          </v:shape>
          <o:OLEObject Type="Embed" ProgID="" ShapeID="ole_rId16" DrawAspect="Content" ObjectID="_1608526919" r:id="rId16"/>
        </w:objec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center"/>
        <w:rPr>
          <w:sz w:val="28"/>
          <w:szCs w:val="28"/>
        </w:rPr>
      </w:pPr>
      <w:r>
        <w:rPr>
          <w:b/>
          <w:sz w:val="32"/>
          <w:szCs w:val="32"/>
        </w:rPr>
        <w:t>7. ИЗВОДИ И ПРЕПОРЪКИ</w:t>
      </w:r>
    </w:p>
    <w:p>
      <w:pPr>
        <w:pStyle w:val="Normal"/>
        <w:spacing w:lineRule="auto" w:line="360"/>
        <w:rPr>
          <w:sz w:val="28"/>
          <w:szCs w:val="28"/>
        </w:rPr>
      </w:pPr>
      <w:r>
        <w:rPr>
          <w:b/>
          <w:sz w:val="28"/>
          <w:szCs w:val="28"/>
          <w:lang w:val="en-US"/>
        </w:rPr>
      </w:r>
    </w:p>
    <w:p>
      <w:pPr>
        <w:pStyle w:val="Normal"/>
        <w:spacing w:lineRule="auto" w:line="360"/>
        <w:jc w:val="both"/>
        <w:rPr>
          <w:sz w:val="28"/>
          <w:szCs w:val="28"/>
        </w:rPr>
      </w:pPr>
      <w:r>
        <w:rPr>
          <w:sz w:val="28"/>
          <w:szCs w:val="28"/>
        </w:rPr>
        <w:tab/>
        <w:t>От така проведеното проучване, наблюдение, систематизиране на получените резултати и от сравнителния анализ можем да направим следните изводи:</w:t>
      </w:r>
    </w:p>
    <w:p>
      <w:pPr>
        <w:pStyle w:val="Normal"/>
        <w:numPr>
          <w:ilvl w:val="0"/>
          <w:numId w:val="2"/>
        </w:numPr>
        <w:spacing w:lineRule="auto" w:line="360"/>
        <w:jc w:val="both"/>
        <w:rPr>
          <w:sz w:val="28"/>
          <w:szCs w:val="28"/>
        </w:rPr>
      </w:pPr>
      <w:r>
        <w:rPr>
          <w:sz w:val="28"/>
          <w:szCs w:val="28"/>
        </w:rPr>
        <w:t>Кинезитерапевтичните мероприятия са довели до значителни подобрения във функцията на опорно-двигателния апарат и основните органи и системи. Под тяхно влияние оптимално са се повишили възможностите за корекция на кифотичната деформация.</w:t>
      </w:r>
    </w:p>
    <w:p>
      <w:pPr>
        <w:pStyle w:val="Normal"/>
        <w:spacing w:lineRule="auto" w:line="360"/>
        <w:ind w:left="360" w:hanging="0"/>
        <w:jc w:val="both"/>
        <w:rPr>
          <w:sz w:val="28"/>
          <w:szCs w:val="28"/>
        </w:rPr>
      </w:pPr>
      <w:r>
        <w:rPr>
          <w:sz w:val="28"/>
          <w:szCs w:val="28"/>
        </w:rPr>
      </w:r>
    </w:p>
    <w:p>
      <w:pPr>
        <w:pStyle w:val="Normal"/>
        <w:numPr>
          <w:ilvl w:val="0"/>
          <w:numId w:val="2"/>
        </w:numPr>
        <w:spacing w:lineRule="auto" w:line="360"/>
        <w:jc w:val="both"/>
        <w:rPr>
          <w:sz w:val="28"/>
          <w:szCs w:val="28"/>
        </w:rPr>
      </w:pPr>
      <w:r>
        <w:rPr>
          <w:sz w:val="28"/>
          <w:szCs w:val="28"/>
        </w:rPr>
        <w:t xml:space="preserve">Една от най-важните прояви на ефективност от приложената методика е стабилизацията на процеса на деформация и коригирането на кифотичната дъга със средно 5˚. </w:t>
      </w:r>
    </w:p>
    <w:p>
      <w:pPr>
        <w:pStyle w:val="Normal"/>
        <w:spacing w:lineRule="auto" w:line="360"/>
        <w:jc w:val="both"/>
        <w:rPr>
          <w:sz w:val="28"/>
          <w:szCs w:val="28"/>
        </w:rPr>
      </w:pPr>
      <w:r>
        <w:rPr>
          <w:sz w:val="28"/>
          <w:szCs w:val="28"/>
        </w:rPr>
      </w:r>
    </w:p>
    <w:p>
      <w:pPr>
        <w:pStyle w:val="Normal"/>
        <w:numPr>
          <w:ilvl w:val="0"/>
          <w:numId w:val="2"/>
        </w:numPr>
        <w:spacing w:lineRule="auto" w:line="360"/>
        <w:jc w:val="both"/>
        <w:rPr>
          <w:sz w:val="28"/>
          <w:szCs w:val="28"/>
        </w:rPr>
      </w:pPr>
      <w:r>
        <w:rPr>
          <w:sz w:val="28"/>
          <w:szCs w:val="28"/>
        </w:rPr>
        <w:t>Кинезитерапевтичните методи са подобрили значително подвижността на гръдния кош, което допринася за създаване на оптимални биомеханични условия за постигане на конкретната цел.</w:t>
      </w:r>
    </w:p>
    <w:p>
      <w:pPr>
        <w:pStyle w:val="Normal"/>
        <w:spacing w:lineRule="auto" w:line="360"/>
        <w:jc w:val="both"/>
        <w:rPr>
          <w:sz w:val="28"/>
          <w:szCs w:val="28"/>
        </w:rPr>
      </w:pPr>
      <w:r>
        <w:rPr>
          <w:sz w:val="28"/>
          <w:szCs w:val="28"/>
        </w:rPr>
      </w:r>
    </w:p>
    <w:p>
      <w:pPr>
        <w:pStyle w:val="Normal"/>
        <w:numPr>
          <w:ilvl w:val="0"/>
          <w:numId w:val="2"/>
        </w:numPr>
        <w:spacing w:lineRule="auto" w:line="360"/>
        <w:jc w:val="both"/>
        <w:rPr>
          <w:sz w:val="28"/>
          <w:szCs w:val="28"/>
        </w:rPr>
      </w:pPr>
      <w:r>
        <w:rPr>
          <w:sz w:val="28"/>
          <w:szCs w:val="28"/>
        </w:rPr>
        <w:t>Скъсената ишиокрурална мускулатура е предпоставка, но и последица от гръбначно изкривяване. Тя е фактор, който е част от пелви-вертебралния патологичен синхрон, който ако не се лекува стопира лечението на гръбначния деформитет.</w:t>
      </w:r>
    </w:p>
    <w:p>
      <w:pPr>
        <w:pStyle w:val="Normal"/>
        <w:spacing w:lineRule="auto" w:line="360"/>
        <w:jc w:val="both"/>
        <w:rPr>
          <w:sz w:val="28"/>
          <w:szCs w:val="28"/>
        </w:rPr>
      </w:pPr>
      <w:r>
        <w:rPr>
          <w:sz w:val="28"/>
          <w:szCs w:val="28"/>
        </w:rPr>
      </w:r>
    </w:p>
    <w:p>
      <w:pPr>
        <w:pStyle w:val="Normal"/>
        <w:numPr>
          <w:ilvl w:val="0"/>
          <w:numId w:val="2"/>
        </w:numPr>
        <w:spacing w:lineRule="auto" w:line="360"/>
        <w:jc w:val="both"/>
        <w:rPr>
          <w:b/>
          <w:sz w:val="28"/>
          <w:szCs w:val="28"/>
        </w:rPr>
      </w:pPr>
      <w:r>
        <w:rPr>
          <w:sz w:val="28"/>
          <w:szCs w:val="28"/>
        </w:rPr>
        <w:t xml:space="preserve">Към изследването на ишиокруралната мускулатура трябва да се прибави и целенасочено изследване за скъсяване на </w:t>
      </w:r>
      <w:r>
        <w:rPr>
          <w:b/>
          <w:sz w:val="28"/>
          <w:szCs w:val="28"/>
          <w:lang w:val="en-US"/>
        </w:rPr>
        <w:t>m. gastrocnemius</w:t>
      </w:r>
      <w:r>
        <w:rPr>
          <w:sz w:val="28"/>
          <w:szCs w:val="28"/>
        </w:rPr>
        <w:t>, което остава маскирано от цялостно скъсената ишиокрурална мускулатура.</w:t>
      </w:r>
    </w:p>
    <w:p>
      <w:pPr>
        <w:pStyle w:val="Normal"/>
        <w:spacing w:lineRule="auto" w:line="360"/>
        <w:jc w:val="both"/>
        <w:rPr>
          <w:b/>
          <w:sz w:val="28"/>
          <w:szCs w:val="28"/>
        </w:rPr>
      </w:pPr>
      <w:r>
        <w:rPr>
          <w:b/>
          <w:sz w:val="28"/>
          <w:szCs w:val="28"/>
        </w:rPr>
      </w:r>
    </w:p>
    <w:p>
      <w:pPr>
        <w:pStyle w:val="Normal"/>
        <w:numPr>
          <w:ilvl w:val="0"/>
          <w:numId w:val="2"/>
        </w:numPr>
        <w:spacing w:lineRule="auto" w:line="360"/>
        <w:jc w:val="both"/>
        <w:rPr>
          <w:b/>
          <w:sz w:val="28"/>
          <w:szCs w:val="28"/>
        </w:rPr>
      </w:pPr>
      <w:r>
        <w:rPr>
          <w:sz w:val="28"/>
          <w:szCs w:val="28"/>
        </w:rPr>
        <w:t>Степента на изразеност на скъсяването на ишиокруралната мускулатура е в пряка корелация, както с възрастта на пациентите и давността на страданието, така и със слабостта и намалената издръжливост на коремна и гръбна мускулатура.</w:t>
      </w:r>
    </w:p>
    <w:p>
      <w:pPr>
        <w:pStyle w:val="Normal"/>
        <w:spacing w:lineRule="auto" w:line="360"/>
        <w:jc w:val="both"/>
        <w:rPr>
          <w:b/>
          <w:sz w:val="28"/>
          <w:szCs w:val="28"/>
        </w:rPr>
      </w:pPr>
      <w:r>
        <w:rPr>
          <w:b/>
          <w:sz w:val="28"/>
          <w:szCs w:val="28"/>
        </w:rPr>
      </w:r>
    </w:p>
    <w:p>
      <w:pPr>
        <w:pStyle w:val="Normal"/>
        <w:numPr>
          <w:ilvl w:val="0"/>
          <w:numId w:val="2"/>
        </w:numPr>
        <w:spacing w:lineRule="auto" w:line="360"/>
        <w:jc w:val="both"/>
        <w:rPr>
          <w:b/>
          <w:sz w:val="28"/>
          <w:szCs w:val="28"/>
        </w:rPr>
      </w:pPr>
      <w:r>
        <w:rPr>
          <w:sz w:val="28"/>
          <w:szCs w:val="28"/>
        </w:rPr>
        <w:t xml:space="preserve">Изследването на ишиокруралната мускулатура и </w:t>
      </w:r>
      <w:r>
        <w:rPr>
          <w:b/>
          <w:sz w:val="28"/>
          <w:szCs w:val="28"/>
          <w:lang w:val="en-US"/>
        </w:rPr>
        <w:t>m. gastrocnemius</w:t>
      </w:r>
      <w:r>
        <w:rPr>
          <w:sz w:val="28"/>
          <w:szCs w:val="28"/>
        </w:rPr>
        <w:t xml:space="preserve"> и създаването на адекватна кинезитерапевтична програма за нормализиране на мускулния дисбаланс е задължително условие за позитивния ход на лечението.</w:t>
      </w:r>
    </w:p>
    <w:p>
      <w:pPr>
        <w:pStyle w:val="Normal"/>
        <w:spacing w:lineRule="auto" w:line="360"/>
        <w:jc w:val="both"/>
        <w:rPr>
          <w:b/>
          <w:sz w:val="28"/>
          <w:szCs w:val="28"/>
        </w:rPr>
      </w:pPr>
      <w:r>
        <w:rPr>
          <w:b/>
          <w:sz w:val="32"/>
          <w:szCs w:val="32"/>
        </w:rPr>
      </w:r>
    </w:p>
    <w:p>
      <w:pPr>
        <w:pStyle w:val="Normal"/>
        <w:spacing w:lineRule="auto" w:line="360"/>
        <w:jc w:val="both"/>
        <w:rPr>
          <w:b/>
          <w:sz w:val="28"/>
          <w:szCs w:val="28"/>
        </w:rPr>
      </w:pPr>
      <w:r>
        <w:rPr>
          <w:b/>
          <w:sz w:val="32"/>
          <w:szCs w:val="32"/>
        </w:rPr>
      </w:r>
    </w:p>
    <w:p>
      <w:pPr>
        <w:pStyle w:val="Normal"/>
        <w:spacing w:lineRule="auto" w:line="360"/>
        <w:jc w:val="center"/>
        <w:rPr>
          <w:b/>
          <w:sz w:val="28"/>
          <w:szCs w:val="28"/>
        </w:rPr>
      </w:pPr>
      <w:r>
        <w:rPr>
          <w:b/>
          <w:sz w:val="32"/>
          <w:szCs w:val="32"/>
        </w:rPr>
      </w:r>
    </w:p>
    <w:p>
      <w:pPr>
        <w:pStyle w:val="Normal"/>
        <w:spacing w:lineRule="auto" w:line="360"/>
        <w:jc w:val="center"/>
        <w:rPr>
          <w:b/>
          <w:sz w:val="28"/>
          <w:szCs w:val="28"/>
        </w:rPr>
      </w:pPr>
      <w:r>
        <w:rPr>
          <w:b/>
          <w:sz w:val="32"/>
          <w:szCs w:val="32"/>
        </w:rPr>
      </w:r>
    </w:p>
    <w:p>
      <w:pPr>
        <w:pStyle w:val="Normal"/>
        <w:spacing w:lineRule="auto" w:line="360"/>
        <w:jc w:val="center"/>
        <w:rPr>
          <w:b/>
          <w:sz w:val="28"/>
          <w:szCs w:val="28"/>
        </w:rPr>
      </w:pPr>
      <w:r>
        <w:rPr>
          <w:b/>
          <w:sz w:val="32"/>
          <w:szCs w:val="32"/>
        </w:rPr>
      </w:r>
    </w:p>
    <w:p>
      <w:pPr>
        <w:pStyle w:val="Normal"/>
        <w:spacing w:lineRule="auto" w:line="360"/>
        <w:rPr>
          <w:b/>
          <w:sz w:val="28"/>
          <w:szCs w:val="28"/>
        </w:rPr>
      </w:pPr>
      <w:r>
        <w:rPr>
          <w:b/>
          <w:sz w:val="32"/>
          <w:szCs w:val="32"/>
        </w:rPr>
      </w:r>
    </w:p>
    <w:p>
      <w:pPr>
        <w:pStyle w:val="Normal"/>
        <w:spacing w:lineRule="auto" w:line="360"/>
        <w:rPr>
          <w:b/>
          <w:sz w:val="28"/>
          <w:szCs w:val="28"/>
        </w:rPr>
      </w:pPr>
      <w:r>
        <w:rPr>
          <w:b/>
          <w:sz w:val="32"/>
          <w:szCs w:val="32"/>
        </w:rPr>
      </w:r>
    </w:p>
    <w:p>
      <w:pPr>
        <w:pStyle w:val="Normal"/>
        <w:spacing w:lineRule="auto" w:line="360"/>
        <w:jc w:val="both"/>
        <w:rPr>
          <w:b/>
          <w:sz w:val="28"/>
          <w:szCs w:val="28"/>
        </w:rPr>
      </w:pPr>
      <w:r>
        <w:rPr>
          <w:b/>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lang w:val="en-US"/>
        </w:rPr>
      </w:r>
    </w:p>
    <w:p>
      <w:pPr>
        <w:pStyle w:val="Normal"/>
        <w:spacing w:lineRule="auto" w:line="360"/>
        <w:jc w:val="both"/>
        <w:rPr>
          <w:b/>
          <w:sz w:val="28"/>
          <w:szCs w:val="28"/>
        </w:rPr>
      </w:pPr>
      <w:r>
        <w:rPr>
          <w:sz w:val="28"/>
          <w:szCs w:val="28"/>
          <w:lang w:val="en-US"/>
        </w:rPr>
      </w:r>
    </w:p>
    <w:p>
      <w:pPr>
        <w:pStyle w:val="Normal"/>
        <w:spacing w:lineRule="auto" w:line="360"/>
        <w:jc w:val="both"/>
        <w:rPr>
          <w:b/>
          <w:sz w:val="28"/>
          <w:szCs w:val="28"/>
        </w:rPr>
      </w:pPr>
      <w:r>
        <w:rPr>
          <w:sz w:val="28"/>
          <w:szCs w:val="28"/>
          <w:lang w:val="en-US"/>
        </w:rPr>
      </w:r>
    </w:p>
    <w:p>
      <w:pPr>
        <w:pStyle w:val="Normal"/>
        <w:spacing w:lineRule="auto" w:line="360"/>
        <w:jc w:val="both"/>
        <w:rPr>
          <w:b/>
          <w:sz w:val="28"/>
          <w:szCs w:val="28"/>
        </w:rPr>
      </w:pPr>
      <w:r>
        <w:rPr>
          <w:sz w:val="28"/>
          <w:szCs w:val="28"/>
          <w:lang w:val="en-US"/>
        </w:rPr>
      </w:r>
    </w:p>
    <w:p>
      <w:pPr>
        <w:pStyle w:val="Normal"/>
        <w:spacing w:lineRule="auto" w:line="360"/>
        <w:jc w:val="both"/>
        <w:rPr>
          <w:b/>
          <w:sz w:val="28"/>
          <w:szCs w:val="28"/>
        </w:rPr>
      </w:pPr>
      <w:r>
        <w:rPr>
          <w:sz w:val="28"/>
          <w:szCs w:val="28"/>
          <w:lang w:val="en-US"/>
        </w:rPr>
      </w:r>
    </w:p>
    <w:p>
      <w:pPr>
        <w:pStyle w:val="Normal"/>
        <w:spacing w:lineRule="auto" w:line="360"/>
        <w:jc w:val="both"/>
        <w:rPr>
          <w:b/>
          <w:sz w:val="28"/>
          <w:szCs w:val="28"/>
        </w:rPr>
      </w:pPr>
      <w:r>
        <w:rPr>
          <w:sz w:val="28"/>
          <w:szCs w:val="28"/>
          <w:lang w:val="en-US"/>
        </w:rPr>
      </w:r>
    </w:p>
    <w:p>
      <w:pPr>
        <w:pStyle w:val="Normal"/>
        <w:spacing w:lineRule="auto" w:line="360"/>
        <w:ind w:left="360" w:hanging="0"/>
        <w:jc w:val="center"/>
        <w:rPr>
          <w:b/>
          <w:sz w:val="28"/>
          <w:szCs w:val="28"/>
        </w:rPr>
      </w:pPr>
      <w:r>
        <w:rPr>
          <w:b/>
          <w:sz w:val="32"/>
          <w:szCs w:val="32"/>
        </w:rPr>
        <w:t>ЗАКЛЮЧЕНИЕ</w:t>
      </w:r>
    </w:p>
    <w:p>
      <w:pPr>
        <w:pStyle w:val="Normal"/>
        <w:spacing w:lineRule="auto" w:line="360"/>
        <w:ind w:left="360" w:hanging="0"/>
        <w:rPr>
          <w:b/>
          <w:sz w:val="28"/>
          <w:szCs w:val="28"/>
        </w:rPr>
      </w:pPr>
      <w:r>
        <w:rPr>
          <w:b/>
          <w:sz w:val="32"/>
          <w:szCs w:val="32"/>
        </w:rPr>
      </w:r>
    </w:p>
    <w:p>
      <w:pPr>
        <w:pStyle w:val="Normal"/>
        <w:spacing w:lineRule="auto" w:line="360"/>
        <w:ind w:left="360" w:hanging="0"/>
        <w:rPr>
          <w:b/>
          <w:sz w:val="28"/>
          <w:szCs w:val="28"/>
        </w:rPr>
      </w:pPr>
      <w:r>
        <w:rPr>
          <w:b/>
          <w:sz w:val="32"/>
          <w:szCs w:val="32"/>
        </w:rPr>
      </w:r>
    </w:p>
    <w:p>
      <w:pPr>
        <w:pStyle w:val="Normal"/>
        <w:spacing w:lineRule="auto" w:line="360"/>
        <w:ind w:left="360" w:hanging="0"/>
        <w:rPr>
          <w:b/>
          <w:sz w:val="28"/>
          <w:szCs w:val="28"/>
        </w:rPr>
      </w:pPr>
      <w:r>
        <w:rPr>
          <w:b/>
          <w:sz w:val="32"/>
          <w:szCs w:val="32"/>
        </w:rPr>
      </w:r>
    </w:p>
    <w:p>
      <w:pPr>
        <w:pStyle w:val="Normal"/>
        <w:spacing w:lineRule="auto" w:line="360"/>
        <w:ind w:left="360" w:hanging="0"/>
        <w:rPr>
          <w:b/>
          <w:sz w:val="28"/>
          <w:szCs w:val="28"/>
        </w:rPr>
      </w:pPr>
      <w:r>
        <w:rPr>
          <w:b/>
          <w:sz w:val="32"/>
          <w:szCs w:val="32"/>
        </w:rPr>
      </w:r>
    </w:p>
    <w:p>
      <w:pPr>
        <w:pStyle w:val="Normal"/>
        <w:spacing w:lineRule="auto" w:line="360"/>
        <w:jc w:val="both"/>
        <w:rPr>
          <w:b/>
          <w:sz w:val="28"/>
          <w:szCs w:val="28"/>
        </w:rPr>
      </w:pPr>
      <w:r>
        <w:rPr>
          <w:sz w:val="28"/>
          <w:szCs w:val="28"/>
        </w:rPr>
        <w:tab/>
        <w:t xml:space="preserve">Консервативното лечение на кифотичната деформация е продължителен по време и сложност процес. Всички литературни източници сочат, че той трябва да продължава до приключване на биологочния растеж на децата. </w:t>
      </w:r>
    </w:p>
    <w:p>
      <w:pPr>
        <w:pStyle w:val="Normal"/>
        <w:spacing w:lineRule="auto" w:line="360"/>
        <w:jc w:val="both"/>
        <w:rPr>
          <w:b/>
          <w:sz w:val="28"/>
          <w:szCs w:val="28"/>
        </w:rPr>
      </w:pPr>
      <w:r>
        <w:rPr>
          <w:sz w:val="28"/>
          <w:szCs w:val="28"/>
        </w:rPr>
        <w:tab/>
        <w:t>Анализът на постигнатите резултати доказва необходимостта от задължителна оценка и корекция на мускулния дисбаланс, което често се неглижира, въпреки че може да се яви агравиращ фактор на гръбначните деформитети.</w:t>
      </w:r>
    </w:p>
    <w:p>
      <w:pPr>
        <w:pStyle w:val="Normal"/>
        <w:spacing w:lineRule="auto" w:line="360"/>
        <w:jc w:val="both"/>
        <w:rPr>
          <w:b/>
          <w:sz w:val="28"/>
          <w:szCs w:val="28"/>
        </w:rPr>
      </w:pPr>
      <w:r>
        <w:rPr>
          <w:sz w:val="28"/>
          <w:szCs w:val="28"/>
        </w:rPr>
        <w:tab/>
        <w:t>Смятаме, че прилаганата от нас методика има добър принос при лечението на кифотичните деформации и може да се прилага с успех в рутинната лечебна практика.</w:t>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Normal"/>
        <w:spacing w:lineRule="auto" w:line="360"/>
        <w:jc w:val="both"/>
        <w:rPr>
          <w:b/>
          <w:sz w:val="28"/>
          <w:szCs w:val="28"/>
        </w:rPr>
      </w:pPr>
      <w:r>
        <w:rPr>
          <w:sz w:val="28"/>
          <w:szCs w:val="28"/>
        </w:rPr>
      </w:r>
    </w:p>
    <w:p>
      <w:pPr>
        <w:pStyle w:val="BodyTextIndent3"/>
        <w:spacing w:lineRule="auto" w:line="360"/>
        <w:jc w:val="center"/>
        <w:rPr>
          <w:b/>
          <w:sz w:val="28"/>
          <w:szCs w:val="28"/>
        </w:rPr>
      </w:pPr>
      <w:r>
        <w:rPr>
          <w:b/>
          <w:sz w:val="36"/>
        </w:rPr>
        <w:t>Библиографска справка</w:t>
      </w:r>
    </w:p>
    <w:p>
      <w:pPr>
        <w:pStyle w:val="BodyTextIndent3"/>
        <w:spacing w:lineRule="auto" w:line="360"/>
        <w:rPr>
          <w:b/>
          <w:sz w:val="28"/>
          <w:szCs w:val="28"/>
        </w:rPr>
      </w:pPr>
      <w:r>
        <w:rPr>
          <w:b/>
          <w:sz w:val="28"/>
          <w:szCs w:val="28"/>
        </w:rPr>
      </w:r>
    </w:p>
    <w:p>
      <w:pPr>
        <w:pStyle w:val="Normal"/>
        <w:numPr>
          <w:ilvl w:val="0"/>
          <w:numId w:val="5"/>
        </w:numPr>
        <w:spacing w:lineRule="auto" w:line="360"/>
        <w:jc w:val="both"/>
        <w:rPr>
          <w:sz w:val="28"/>
          <w:szCs w:val="28"/>
        </w:rPr>
      </w:pPr>
      <w:r>
        <w:rPr>
          <w:sz w:val="28"/>
          <w:szCs w:val="28"/>
        </w:rPr>
        <w:t>Банков С., В. Кръстева, Я. Въжаров – „Мануално-мускулно тестуване с основи на кинезиологията и патокинезиологията” С. 1991</w:t>
      </w:r>
    </w:p>
    <w:p>
      <w:pPr>
        <w:pStyle w:val="Normal"/>
        <w:numPr>
          <w:ilvl w:val="0"/>
          <w:numId w:val="5"/>
        </w:numPr>
        <w:spacing w:lineRule="auto" w:line="360"/>
        <w:jc w:val="both"/>
        <w:rPr>
          <w:sz w:val="28"/>
          <w:szCs w:val="28"/>
        </w:rPr>
      </w:pPr>
      <w:r>
        <w:rPr>
          <w:sz w:val="28"/>
          <w:szCs w:val="28"/>
        </w:rPr>
        <w:t>Гатев Ст.,Бусаров “Ръководство по кинезитерапия” т ІІ, 1995г.</w:t>
      </w:r>
    </w:p>
    <w:p>
      <w:pPr>
        <w:pStyle w:val="Normal"/>
        <w:numPr>
          <w:ilvl w:val="0"/>
          <w:numId w:val="5"/>
        </w:numPr>
        <w:spacing w:lineRule="auto" w:line="360"/>
        <w:jc w:val="both"/>
        <w:rPr>
          <w:sz w:val="28"/>
        </w:rPr>
      </w:pPr>
      <w:r>
        <w:rPr>
          <w:sz w:val="28"/>
          <w:szCs w:val="28"/>
        </w:rPr>
        <w:t>Гълъбов Г., Ванков В. “Анатомия на човека” МиФ, 1986г.</w:t>
      </w:r>
    </w:p>
    <w:p>
      <w:pPr>
        <w:pStyle w:val="Normal"/>
        <w:numPr>
          <w:ilvl w:val="0"/>
          <w:numId w:val="5"/>
        </w:numPr>
        <w:spacing w:lineRule="auto" w:line="360"/>
        <w:jc w:val="both"/>
        <w:rPr>
          <w:sz w:val="28"/>
        </w:rPr>
      </w:pPr>
      <w:r>
        <w:rPr>
          <w:sz w:val="28"/>
          <w:szCs w:val="28"/>
        </w:rPr>
        <w:t>Дебрунер, Хеп “Ортопедична диагностика” С, 1997г.</w:t>
      </w:r>
    </w:p>
    <w:p>
      <w:pPr>
        <w:pStyle w:val="Normal"/>
        <w:numPr>
          <w:ilvl w:val="0"/>
          <w:numId w:val="5"/>
        </w:numPr>
        <w:spacing w:lineRule="auto" w:line="360"/>
        <w:jc w:val="both"/>
        <w:rPr>
          <w:sz w:val="28"/>
        </w:rPr>
      </w:pPr>
      <w:r>
        <w:rPr>
          <w:sz w:val="28"/>
          <w:szCs w:val="28"/>
        </w:rPr>
        <w:t xml:space="preserve">Димитрова Е., Рохлева М. “Приложение на методът на </w:t>
      </w:r>
      <w:r>
        <w:rPr>
          <w:sz w:val="28"/>
          <w:szCs w:val="28"/>
          <w:lang w:val="en-US"/>
        </w:rPr>
        <w:t>Mezieres</w:t>
      </w:r>
      <w:r>
        <w:rPr>
          <w:sz w:val="28"/>
          <w:szCs w:val="28"/>
        </w:rPr>
        <w:t xml:space="preserve"> при неправилна сколиотична стойка”, Юбилейна национална конференция по спортна медицина, Велико Търново, 26-28.10.2003г.</w:t>
      </w:r>
    </w:p>
    <w:p>
      <w:pPr>
        <w:pStyle w:val="Normal"/>
        <w:numPr>
          <w:ilvl w:val="0"/>
          <w:numId w:val="5"/>
        </w:numPr>
        <w:spacing w:lineRule="auto" w:line="360"/>
        <w:jc w:val="both"/>
        <w:rPr>
          <w:sz w:val="28"/>
        </w:rPr>
      </w:pPr>
      <w:r>
        <w:rPr>
          <w:sz w:val="28"/>
        </w:rPr>
        <w:t>Калчев И., Е. Морова – „Кинезиология” С. 1993г.</w:t>
      </w:r>
    </w:p>
    <w:p>
      <w:pPr>
        <w:pStyle w:val="Normal"/>
        <w:numPr>
          <w:ilvl w:val="0"/>
          <w:numId w:val="5"/>
        </w:numPr>
        <w:spacing w:lineRule="auto" w:line="360"/>
        <w:jc w:val="both"/>
        <w:rPr>
          <w:sz w:val="28"/>
        </w:rPr>
      </w:pPr>
      <w:r>
        <w:rPr>
          <w:sz w:val="28"/>
          <w:szCs w:val="28"/>
        </w:rPr>
        <w:t>Каранешев Г. “Теория и методика на ЛФК”, МиФ, С., 1989г.</w:t>
      </w:r>
    </w:p>
    <w:p>
      <w:pPr>
        <w:pStyle w:val="Normal"/>
        <w:numPr>
          <w:ilvl w:val="0"/>
          <w:numId w:val="5"/>
        </w:numPr>
        <w:spacing w:lineRule="auto" w:line="360"/>
        <w:jc w:val="both"/>
        <w:rPr>
          <w:sz w:val="28"/>
        </w:rPr>
      </w:pPr>
      <w:r>
        <w:rPr>
          <w:sz w:val="28"/>
          <w:szCs w:val="28"/>
        </w:rPr>
        <w:t>Каранешев Г., Милчев Д., Янчева Св. “Методи за функционално изследване и диагностика”, С., НСА, 1995г.</w:t>
      </w:r>
    </w:p>
    <w:p>
      <w:pPr>
        <w:pStyle w:val="Normal"/>
        <w:numPr>
          <w:ilvl w:val="0"/>
          <w:numId w:val="5"/>
        </w:numPr>
        <w:spacing w:lineRule="auto" w:line="360"/>
        <w:jc w:val="both"/>
        <w:rPr>
          <w:sz w:val="28"/>
        </w:rPr>
      </w:pPr>
      <w:r>
        <w:rPr>
          <w:sz w:val="28"/>
          <w:szCs w:val="28"/>
        </w:rPr>
        <w:t>Павлов Г., Стоков Л., Сливков П. “Лечение на гръбначните изкривявания”, науч.обзор, 1980г.</w:t>
      </w:r>
    </w:p>
    <w:p>
      <w:pPr>
        <w:pStyle w:val="Normal"/>
        <w:numPr>
          <w:ilvl w:val="0"/>
          <w:numId w:val="5"/>
        </w:numPr>
        <w:spacing w:lineRule="auto" w:line="360"/>
        <w:jc w:val="both"/>
        <w:rPr>
          <w:sz w:val="28"/>
        </w:rPr>
      </w:pPr>
      <w:r>
        <w:rPr>
          <w:sz w:val="28"/>
          <w:szCs w:val="28"/>
        </w:rPr>
        <w:t>Попов Н. “Гръбначен стълб. Функционална диагностика и кинезитерапия”, С., 2002г.</w:t>
      </w:r>
    </w:p>
    <w:p>
      <w:pPr>
        <w:pStyle w:val="Normal"/>
        <w:numPr>
          <w:ilvl w:val="0"/>
          <w:numId w:val="5"/>
        </w:numPr>
        <w:spacing w:lineRule="auto" w:line="360"/>
        <w:jc w:val="both"/>
        <w:rPr>
          <w:sz w:val="28"/>
        </w:rPr>
      </w:pPr>
      <w:r>
        <w:rPr>
          <w:sz w:val="28"/>
          <w:szCs w:val="28"/>
        </w:rPr>
        <w:t>Соколов Б., Маркова Г. “Изправителна гимнастика”, МиФ, С., 1991г.</w:t>
      </w:r>
    </w:p>
    <w:p>
      <w:pPr>
        <w:pStyle w:val="Normal"/>
        <w:numPr>
          <w:ilvl w:val="0"/>
          <w:numId w:val="5"/>
        </w:numPr>
        <w:spacing w:lineRule="auto" w:line="360"/>
        <w:jc w:val="both"/>
        <w:rPr>
          <w:sz w:val="28"/>
        </w:rPr>
      </w:pPr>
      <w:r>
        <w:rPr>
          <w:sz w:val="28"/>
          <w:szCs w:val="28"/>
        </w:rPr>
        <w:t>Сливков П. “Основни насоки и грешки в кинезитерапията на структурните сколиози”, доклад ІІ конференция по гръбначна патология, С., 1996г.</w:t>
      </w:r>
    </w:p>
    <w:p>
      <w:pPr>
        <w:pStyle w:val="Normal"/>
        <w:numPr>
          <w:ilvl w:val="0"/>
          <w:numId w:val="5"/>
        </w:numPr>
        <w:spacing w:lineRule="auto" w:line="360"/>
        <w:jc w:val="both"/>
        <w:rPr>
          <w:sz w:val="28"/>
        </w:rPr>
      </w:pPr>
      <w:r>
        <w:rPr>
          <w:sz w:val="28"/>
          <w:szCs w:val="28"/>
        </w:rPr>
        <w:t>Слънчев, Банков “Ръководство по кинезитерапия”, МиФ, С., 1983г.</w:t>
      </w:r>
    </w:p>
    <w:p>
      <w:pPr>
        <w:pStyle w:val="Normal"/>
        <w:numPr>
          <w:ilvl w:val="0"/>
          <w:numId w:val="5"/>
        </w:numPr>
        <w:spacing w:lineRule="auto" w:line="360"/>
        <w:jc w:val="both"/>
        <w:rPr>
          <w:sz w:val="28"/>
        </w:rPr>
      </w:pPr>
      <w:r>
        <w:rPr>
          <w:sz w:val="28"/>
          <w:szCs w:val="28"/>
        </w:rPr>
        <w:t>Цветанова З.”Клинични констатации за честота и степента на изразеност на скъсените бедрени и подбедрени флексори на коляното при деца с гръбначни деформитети” ”, Юбилейна национална конференция по спортна медицина, Велико Търново, 26-28.10.2003г.</w:t>
      </w:r>
    </w:p>
    <w:p>
      <w:pPr>
        <w:pStyle w:val="Normal"/>
        <w:numPr>
          <w:ilvl w:val="0"/>
          <w:numId w:val="5"/>
        </w:numPr>
        <w:spacing w:lineRule="auto" w:line="360"/>
        <w:jc w:val="both"/>
        <w:rPr>
          <w:sz w:val="28"/>
        </w:rPr>
      </w:pPr>
      <w:r>
        <w:rPr>
          <w:sz w:val="28"/>
          <w:szCs w:val="28"/>
        </w:rPr>
        <w:t>Цивьяня “Сколиотическая болезно”, Ташкент, Медицина, 1972г.</w:t>
      </w:r>
    </w:p>
    <w:p>
      <w:pPr>
        <w:pStyle w:val="Normal"/>
        <w:numPr>
          <w:ilvl w:val="0"/>
          <w:numId w:val="5"/>
        </w:numPr>
        <w:spacing w:lineRule="auto" w:line="360"/>
        <w:jc w:val="both"/>
        <w:rPr>
          <w:sz w:val="28"/>
        </w:rPr>
      </w:pPr>
      <w:r>
        <w:rPr>
          <w:sz w:val="28"/>
          <w:szCs w:val="28"/>
        </w:rPr>
        <w:t>Чаклин В.Д. Ортопедия М. Медгиз 1957г.</w:t>
      </w:r>
    </w:p>
    <w:p>
      <w:pPr>
        <w:pStyle w:val="Normal"/>
        <w:numPr>
          <w:ilvl w:val="0"/>
          <w:numId w:val="5"/>
        </w:numPr>
        <w:spacing w:lineRule="auto" w:line="360"/>
        <w:jc w:val="both"/>
        <w:rPr>
          <w:sz w:val="28"/>
        </w:rPr>
      </w:pPr>
      <w:r>
        <w:rPr>
          <w:sz w:val="28"/>
          <w:szCs w:val="28"/>
          <w:lang w:val="en-US"/>
        </w:rPr>
        <w:t>Bradford D et all: Moe’s textbook of scoliosis and other spinal deformities. Philadelphia, W. B. Sounders Co, 1987</w:t>
      </w:r>
    </w:p>
    <w:p>
      <w:pPr>
        <w:pStyle w:val="Normal"/>
        <w:numPr>
          <w:ilvl w:val="0"/>
          <w:numId w:val="5"/>
        </w:numPr>
        <w:spacing w:lineRule="auto" w:line="360"/>
        <w:jc w:val="both"/>
        <w:rPr>
          <w:sz w:val="28"/>
        </w:rPr>
      </w:pPr>
      <w:r>
        <w:rPr>
          <w:sz w:val="28"/>
          <w:szCs w:val="28"/>
          <w:lang w:val="en-US"/>
        </w:rPr>
        <w:t>Bunnel W. P. “Treatment of idiopathic scoliosis” Orthop. Clin North Am. 1979, 813-827</w:t>
      </w:r>
    </w:p>
    <w:p>
      <w:pPr>
        <w:pStyle w:val="Normal"/>
        <w:numPr>
          <w:ilvl w:val="0"/>
          <w:numId w:val="5"/>
        </w:numPr>
        <w:spacing w:lineRule="auto" w:line="360"/>
        <w:jc w:val="both"/>
        <w:rPr>
          <w:sz w:val="28"/>
        </w:rPr>
      </w:pPr>
      <w:r>
        <w:rPr>
          <w:sz w:val="28"/>
          <w:szCs w:val="28"/>
          <w:lang w:val="en-US"/>
        </w:rPr>
        <w:t>Daniels L, Worthingham C: Therapeutic exercise for body alignment and function, ed.2 WB Saunder, Philadelphia, 1977</w:t>
      </w:r>
    </w:p>
    <w:p>
      <w:pPr>
        <w:pStyle w:val="Normal"/>
        <w:numPr>
          <w:ilvl w:val="0"/>
          <w:numId w:val="5"/>
        </w:numPr>
        <w:spacing w:lineRule="auto" w:line="360"/>
        <w:jc w:val="both"/>
        <w:rPr>
          <w:sz w:val="28"/>
        </w:rPr>
      </w:pPr>
      <w:r>
        <w:rPr>
          <w:sz w:val="28"/>
          <w:szCs w:val="28"/>
          <w:lang w:val="en-US"/>
        </w:rPr>
        <w:t>Evjenth O, Hamberg J: Muscle stretching in manual therapy. Alfta Rehab 1984</w:t>
      </w:r>
    </w:p>
    <w:p>
      <w:pPr>
        <w:pStyle w:val="Normal"/>
        <w:numPr>
          <w:ilvl w:val="0"/>
          <w:numId w:val="5"/>
        </w:numPr>
        <w:spacing w:lineRule="auto" w:line="360"/>
        <w:jc w:val="both"/>
        <w:rPr>
          <w:sz w:val="28"/>
        </w:rPr>
      </w:pPr>
      <w:r>
        <w:rPr>
          <w:sz w:val="28"/>
          <w:szCs w:val="28"/>
          <w:lang w:val="en-US"/>
        </w:rPr>
        <w:t>Goodman C, Snyer T: Differential diagnosis in physical therapy. Philadelphia W. B. Saunders Co. 1995</w:t>
      </w:r>
    </w:p>
    <w:p>
      <w:pPr>
        <w:pStyle w:val="Normal"/>
        <w:numPr>
          <w:ilvl w:val="0"/>
          <w:numId w:val="5"/>
        </w:numPr>
        <w:spacing w:lineRule="auto" w:line="360"/>
        <w:jc w:val="both"/>
        <w:rPr>
          <w:sz w:val="28"/>
        </w:rPr>
      </w:pPr>
      <w:r>
        <w:rPr>
          <w:sz w:val="28"/>
          <w:szCs w:val="28"/>
          <w:lang w:val="en-US"/>
        </w:rPr>
        <w:t>Janda V. Differential diagnosis of muscle tone in respect of inhibitory techniques. Presentation, PMRF, 1989</w:t>
      </w:r>
    </w:p>
    <w:p>
      <w:pPr>
        <w:pStyle w:val="Normal"/>
        <w:numPr>
          <w:ilvl w:val="0"/>
          <w:numId w:val="5"/>
        </w:numPr>
        <w:spacing w:lineRule="auto" w:line="360"/>
        <w:jc w:val="both"/>
        <w:rPr>
          <w:sz w:val="28"/>
        </w:rPr>
      </w:pPr>
      <w:r>
        <w:rPr>
          <w:sz w:val="28"/>
          <w:szCs w:val="28"/>
          <w:lang w:val="en-US"/>
        </w:rPr>
        <w:t>Levit K, Simons D myofascial pain – relieve by postisometric relaxation. Arch. of Physical Medicine and Rehabilitation 65: 462-466, 1984</w:t>
      </w:r>
    </w:p>
    <w:p>
      <w:pPr>
        <w:pStyle w:val="Normal"/>
        <w:numPr>
          <w:ilvl w:val="0"/>
          <w:numId w:val="5"/>
        </w:numPr>
        <w:spacing w:lineRule="auto" w:line="360"/>
        <w:jc w:val="both"/>
        <w:rPr>
          <w:sz w:val="28"/>
        </w:rPr>
      </w:pPr>
      <w:r>
        <w:rPr>
          <w:sz w:val="28"/>
          <w:szCs w:val="28"/>
          <w:lang w:val="en-US"/>
        </w:rPr>
        <w:t>Liebenson C. Muscular relaxation techniques. J of Manipulative and Physiological Therapeutics 12(6): 446-454</w:t>
      </w:r>
    </w:p>
    <w:p>
      <w:pPr>
        <w:pStyle w:val="Normal"/>
        <w:numPr>
          <w:ilvl w:val="0"/>
          <w:numId w:val="5"/>
        </w:numPr>
        <w:spacing w:lineRule="auto" w:line="360"/>
        <w:jc w:val="both"/>
        <w:rPr>
          <w:sz w:val="28"/>
        </w:rPr>
      </w:pPr>
      <w:r>
        <w:rPr>
          <w:sz w:val="28"/>
          <w:szCs w:val="28"/>
          <w:lang w:val="en-US"/>
        </w:rPr>
        <w:t>Mooney V, Robertson J, The facet syndrome, Clin orthop 115: 149, 1976</w:t>
      </w:r>
    </w:p>
    <w:p>
      <w:pPr>
        <w:pStyle w:val="Normal"/>
        <w:numPr>
          <w:ilvl w:val="0"/>
          <w:numId w:val="5"/>
        </w:numPr>
        <w:spacing w:lineRule="auto" w:line="360"/>
        <w:jc w:val="both"/>
        <w:rPr>
          <w:sz w:val="28"/>
        </w:rPr>
      </w:pPr>
      <w:r>
        <w:rPr>
          <w:sz w:val="28"/>
          <w:szCs w:val="28"/>
          <w:lang w:val="en-US"/>
        </w:rPr>
        <w:t>Panjabi M, Krag M, Chung T: Effects of disc injury on mechanical behavior of the human spine. Spine 9: 707, 1984</w:t>
      </w:r>
    </w:p>
    <w:p>
      <w:pPr>
        <w:pStyle w:val="Normal"/>
        <w:spacing w:lineRule="auto" w:line="360"/>
        <w:ind w:left="360" w:hanging="0"/>
        <w:rPr>
          <w:sz w:val="28"/>
        </w:rPr>
      </w:pPr>
      <w:r>
        <w:rPr>
          <w:sz w:val="28"/>
          <w:szCs w:val="28"/>
          <w:lang w:val="en-US"/>
        </w:rPr>
        <w:t xml:space="preserve"> </w:t>
      </w:r>
    </w:p>
    <w:p>
      <w:pPr>
        <w:pStyle w:val="Normal"/>
        <w:spacing w:lineRule="auto" w:line="360"/>
        <w:rPr>
          <w:sz w:val="28"/>
        </w:rPr>
      </w:pPr>
      <w:r>
        <w:rPr>
          <w:sz w:val="28"/>
          <w:szCs w:val="28"/>
          <w:lang w:val="en-US"/>
        </w:rPr>
      </w:r>
    </w:p>
    <w:p>
      <w:pPr>
        <w:pStyle w:val="Normal"/>
        <w:spacing w:lineRule="auto" w:line="360"/>
        <w:rPr>
          <w:sz w:val="28"/>
        </w:rPr>
      </w:pPr>
      <w:r>
        <w:rPr>
          <w:sz w:val="28"/>
          <w:szCs w:val="28"/>
          <w:lang w:val="en-US"/>
        </w:rPr>
      </w:r>
    </w:p>
    <w:p>
      <w:pPr>
        <w:pStyle w:val="BodyTextIndent3"/>
        <w:spacing w:lineRule="auto" w:line="360"/>
        <w:rPr>
          <w:sz w:val="28"/>
        </w:rPr>
      </w:pPr>
      <w:r>
        <w:rPr>
          <w:sz w:val="28"/>
          <w:szCs w:val="28"/>
          <w:lang w:val="en-US"/>
        </w:rPr>
      </w:r>
    </w:p>
    <w:p>
      <w:pPr>
        <w:pStyle w:val="Normal"/>
        <w:spacing w:lineRule="auto" w:line="360"/>
        <w:jc w:val="both"/>
        <w:rPr>
          <w:sz w:val="28"/>
        </w:rPr>
      </w:pPr>
      <w:r>
        <w:rPr>
          <w:sz w:val="28"/>
          <w:szCs w:val="28"/>
        </w:rPr>
      </w:r>
    </w:p>
    <w:sectPr>
      <w:footerReference w:type="default" r:id="rId18"/>
      <w:type w:val="nextPage"/>
      <w:pgSz w:w="11906" w:h="16838"/>
      <w:pgMar w:left="1417" w:right="1417"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Arial">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w:r>
    <w:r>
      <mc:AlternateContent>
        <mc:Choice Requires="wps">
          <w:drawing>
            <wp:anchor behindDoc="0" distT="0" distB="0" distL="0" distR="0" simplePos="0" locked="0" layoutInCell="0" allowOverlap="1" relativeHeight="82">
              <wp:simplePos x="0" y="0"/>
              <wp:positionH relativeFrom="margin">
                <wp:align>right</wp:align>
              </wp:positionH>
              <wp:positionV relativeFrom="paragraph">
                <wp:posOffset>635</wp:posOffset>
              </wp:positionV>
              <wp:extent cx="153035" cy="175260"/>
              <wp:effectExtent l="0" t="0" r="0" b="0"/>
              <wp:wrapSquare wrapText="largest"/>
              <wp:docPr id="3"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68</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441.55pt;mso-position-horizontal:right;mso-position-horizontal-relative:margin">
              <v:fill opacity="0f"/>
              <v:textbox inset="0in,0in,0in,0in">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68</w:t>
                    </w:r>
                    <w:r>
                      <w:rPr>
                        <w:rStyle w:val="PageNumber"/>
                      </w:rP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750"/>
        </w:tabs>
        <w:ind w:left="750" w:hanging="390"/>
      </w:pPr>
      <w:rPr>
        <w:b w:val="false"/>
      </w:rPr>
    </w:lvl>
  </w:abstractNum>
  <w:abstractNum w:abstractNumId="3">
    <w:lvl w:ilvl="0">
      <w:start w:val="1"/>
      <w:numFmt w:val="decimal"/>
      <w:lvlText w:val="%1."/>
      <w:lvlJc w:val="left"/>
      <w:pPr>
        <w:tabs>
          <w:tab w:val="num" w:pos="720"/>
        </w:tabs>
        <w:ind w:left="720" w:hanging="360"/>
      </w:pPr>
      <w:rPr/>
    </w:lvl>
  </w:abstractNum>
  <w:abstractNum w:abstractNumId="4">
    <w:lvl w:ilvl="0">
      <w:start w:val="1"/>
      <w:numFmt w:val="bullet"/>
      <w:lvlText w:val=""/>
      <w:lvlJc w:val="left"/>
      <w:pPr>
        <w:tabs>
          <w:tab w:val="num" w:pos="1428"/>
        </w:tabs>
        <w:ind w:left="1428" w:hanging="360"/>
      </w:pPr>
      <w:rPr>
        <w:rFonts w:ascii="Symbol" w:hAnsi="Symbol" w:cs="Symbol" w:hint="default"/>
      </w:rPr>
    </w:lvl>
  </w:abstractNum>
  <w:abstractNum w:abstractNumId="5">
    <w:lvl w:ilvl="0">
      <w:start w:val="1"/>
      <w:numFmt w:val="decimal"/>
      <w:lvlText w:val="%1."/>
      <w:lvlJc w:val="left"/>
      <w:pPr>
        <w:tabs>
          <w:tab w:val="num" w:pos="720"/>
        </w:tabs>
        <w:ind w:left="720" w:hanging="360"/>
      </w:pPr>
      <w:rPr/>
    </w:lvl>
  </w:abstractNum>
  <w:abstractNum w:abstractNumId="6">
    <w:lvl w:ilvl="0">
      <w:start w:val="1"/>
      <w:numFmt w:val="decimal"/>
      <w:lvlText w:val="%1."/>
      <w:lvlJc w:val="left"/>
      <w:pPr>
        <w:tabs>
          <w:tab w:val="num" w:pos="750"/>
        </w:tabs>
        <w:ind w:left="750" w:hanging="390"/>
      </w:pPr>
      <w:rPr/>
    </w:lvl>
  </w:abstractNum>
  <w:abstractNum w:abstractNumId="7">
    <w:lvl w:ilvl="0">
      <w:start w:val="1"/>
      <w:numFmt w:val="bullet"/>
      <w:lvlText w:val=""/>
      <w:lvlJc w:val="left"/>
      <w:pPr>
        <w:tabs>
          <w:tab w:val="num" w:pos="1428"/>
        </w:tabs>
        <w:ind w:left="1428" w:hanging="360"/>
      </w:pPr>
      <w:rPr>
        <w:rFonts w:ascii="Symbol" w:hAnsi="Symbol" w:cs="Symbol" w:hint="default"/>
      </w:rPr>
    </w:lvl>
  </w:abstractNum>
  <w:abstractNum w:abstractNumId="8">
    <w:lvl w:ilvl="0">
      <w:start w:val="1"/>
      <w:numFmt w:val="bullet"/>
      <w:lvlText w:val=""/>
      <w:lvlJc w:val="left"/>
      <w:pPr>
        <w:tabs>
          <w:tab w:val="num" w:pos="720"/>
        </w:tabs>
        <w:ind w:left="720" w:hanging="360"/>
      </w:pPr>
      <w:rPr>
        <w:rFonts w:ascii="Symbol" w:hAnsi="Symbol" w:cs="Symbol" w:hint="default"/>
      </w:rPr>
    </w:lvl>
  </w:abstractNum>
  <w:abstractNum w:abstractNumId="9">
    <w:lvl w:ilvl="0">
      <w:start w:val="1"/>
      <w:numFmt w:val="decimal"/>
      <w:lvlText w:val="%1."/>
      <w:lvlJc w:val="left"/>
      <w:pPr>
        <w:tabs>
          <w:tab w:val="num" w:pos="720"/>
        </w:tabs>
        <w:ind w:left="720" w:hanging="360"/>
      </w:pPr>
      <w:rPr/>
    </w:lvl>
  </w:abstractNum>
  <w:abstractNum w:abstractNumId="10">
    <w:lvl w:ilvl="0">
      <w:start w:val="1"/>
      <w:numFmt w:val="bullet"/>
      <w:lvlText w:val=""/>
      <w:lvlJc w:val="left"/>
      <w:pPr>
        <w:tabs>
          <w:tab w:val="num" w:pos="1440"/>
        </w:tabs>
        <w:ind w:left="1440" w:hanging="360"/>
      </w:pPr>
      <w:rPr>
        <w:rFonts w:ascii="Symbol" w:hAnsi="Symbol" w:cs="Symbol" w:hint="default"/>
      </w:rPr>
    </w:lvl>
  </w:abstractNum>
  <w:abstractNum w:abstractNumId="11">
    <w:lvl w:ilvl="0">
      <w:start w:val="3"/>
      <w:numFmt w:val="decimal"/>
      <w:lvlText w:val="%1"/>
      <w:lvlJc w:val="left"/>
      <w:pPr>
        <w:tabs>
          <w:tab w:val="num" w:pos="360"/>
        </w:tabs>
        <w:ind w:left="360" w:hanging="360"/>
      </w:pPr>
      <w:rPr/>
    </w:lvl>
    <w:lvl w:ilvl="1">
      <w:start w:val="1"/>
      <w:numFmt w:val="decimal"/>
      <w:lvlText w:val="%1.%2"/>
      <w:lvlJc w:val="left"/>
      <w:pPr>
        <w:tabs>
          <w:tab w:val="num" w:pos="720"/>
        </w:tabs>
        <w:ind w:left="720" w:hanging="360"/>
      </w:pPr>
      <w:rPr/>
    </w:lvl>
    <w:lvl w:ilvl="2">
      <w:start w:val="1"/>
      <w:numFmt w:val="decimal"/>
      <w:lvlText w:val="%1.%2.%3"/>
      <w:lvlJc w:val="left"/>
      <w:pPr>
        <w:tabs>
          <w:tab w:val="num" w:pos="1440"/>
        </w:tabs>
        <w:ind w:left="1440" w:hanging="720"/>
      </w:pPr>
      <w:rPr/>
    </w:lvl>
    <w:lvl w:ilvl="3">
      <w:start w:val="1"/>
      <w:numFmt w:val="decimal"/>
      <w:lvlText w:val="%1.%2.%3.%4"/>
      <w:lvlJc w:val="left"/>
      <w:pPr>
        <w:tabs>
          <w:tab w:val="num" w:pos="2160"/>
        </w:tabs>
        <w:ind w:left="2160" w:hanging="1080"/>
      </w:pPr>
      <w:rPr/>
    </w:lvl>
    <w:lvl w:ilvl="4">
      <w:start w:val="1"/>
      <w:numFmt w:val="decimal"/>
      <w:lvlText w:val="%1.%2.%3.%4.%5"/>
      <w:lvlJc w:val="left"/>
      <w:pPr>
        <w:tabs>
          <w:tab w:val="num" w:pos="2520"/>
        </w:tabs>
        <w:ind w:left="2520" w:hanging="1080"/>
      </w:pPr>
      <w:rPr/>
    </w:lvl>
    <w:lvl w:ilvl="5">
      <w:start w:val="1"/>
      <w:numFmt w:val="decimal"/>
      <w:lvlText w:val="%1.%2.%3.%4.%5.%6"/>
      <w:lvlJc w:val="left"/>
      <w:pPr>
        <w:tabs>
          <w:tab w:val="num" w:pos="3240"/>
        </w:tabs>
        <w:ind w:left="3240" w:hanging="1440"/>
      </w:pPr>
      <w:rPr/>
    </w:lvl>
    <w:lvl w:ilvl="6">
      <w:start w:val="1"/>
      <w:numFmt w:val="decimal"/>
      <w:lvlText w:val="%1.%2.%3.%4.%5.%6.%7"/>
      <w:lvlJc w:val="left"/>
      <w:pPr>
        <w:tabs>
          <w:tab w:val="num" w:pos="3600"/>
        </w:tabs>
        <w:ind w:left="3600" w:hanging="1440"/>
      </w:pPr>
      <w:rPr/>
    </w:lvl>
    <w:lvl w:ilvl="7">
      <w:start w:val="1"/>
      <w:numFmt w:val="decimal"/>
      <w:lvlText w:val="%1.%2.%3.%4.%5.%6.%7.%8"/>
      <w:lvlJc w:val="left"/>
      <w:pPr>
        <w:tabs>
          <w:tab w:val="num" w:pos="4320"/>
        </w:tabs>
        <w:ind w:left="4320" w:hanging="1800"/>
      </w:pPr>
      <w:rPr/>
    </w:lvl>
    <w:lvl w:ilvl="8">
      <w:start w:val="1"/>
      <w:numFmt w:val="decimal"/>
      <w:lvlText w:val="%1.%2.%3.%4.%5.%6.%7.%8.%9"/>
      <w:lvlJc w:val="left"/>
      <w:pPr>
        <w:tabs>
          <w:tab w:val="num" w:pos="5040"/>
        </w:tabs>
        <w:ind w:left="5040" w:hanging="2160"/>
      </w:pPr>
      <w:rPr/>
    </w:lvl>
  </w:abstractNum>
  <w:abstractNum w:abstractNumId="12">
    <w:lvl w:ilvl="0">
      <w:start w:val="1"/>
      <w:numFmt w:val="bullet"/>
      <w:lvlText w:val=""/>
      <w:lvlJc w:val="left"/>
      <w:pPr>
        <w:tabs>
          <w:tab w:val="num" w:pos="1068"/>
        </w:tabs>
        <w:ind w:left="1068" w:hanging="360"/>
      </w:pPr>
      <w:rPr>
        <w:rFonts w:ascii="Symbol" w:hAnsi="Symbol" w:cs="Symbol" w:hint="default"/>
      </w:rPr>
    </w:lvl>
  </w:abstractNum>
  <w:abstractNum w:abstractNumId="13">
    <w:lvl w:ilvl="0">
      <w:start w:val="1"/>
      <w:numFmt w:val="bullet"/>
      <w:lvlText w:val=""/>
      <w:lvlJc w:val="left"/>
      <w:pPr>
        <w:tabs>
          <w:tab w:val="num" w:pos="1068"/>
        </w:tabs>
        <w:ind w:left="1068" w:hanging="360"/>
      </w:pPr>
      <w:rPr>
        <w:rFonts w:ascii="Symbol" w:hAnsi="Symbol" w:cs="Symbol" w:hint="default"/>
      </w:rPr>
    </w:lvl>
  </w:abstractNum>
  <w:abstractNum w:abstractNumId="14">
    <w:lvl w:ilvl="0">
      <w:start w:val="1"/>
      <w:numFmt w:val="decimal"/>
      <w:lvlText w:val="%1."/>
      <w:lvlJc w:val="left"/>
      <w:pPr>
        <w:tabs>
          <w:tab w:val="num" w:pos="720"/>
        </w:tabs>
        <w:ind w:left="720" w:hanging="360"/>
      </w:pPr>
      <w:rPr/>
    </w:lvl>
    <w:lvl w:ilvl="1">
      <w:start w:val="1"/>
      <w:numFmt w:val="decimal"/>
      <w:lvlText w:val="%1.%2"/>
      <w:lvlJc w:val="left"/>
      <w:pPr>
        <w:tabs>
          <w:tab w:val="num" w:pos="780"/>
        </w:tabs>
        <w:ind w:left="780" w:hanging="420"/>
      </w:pPr>
      <w:rPr>
        <w:b w:val="false"/>
      </w:rPr>
    </w:lvl>
    <w:lvl w:ilvl="2">
      <w:start w:val="1"/>
      <w:numFmt w:val="decimal"/>
      <w:lvlText w:val="%1.%2.%3"/>
      <w:lvlJc w:val="left"/>
      <w:pPr>
        <w:tabs>
          <w:tab w:val="num" w:pos="1080"/>
        </w:tabs>
        <w:ind w:left="1080" w:hanging="720"/>
      </w:pPr>
      <w:rPr>
        <w:b w:val="false"/>
      </w:rPr>
    </w:lvl>
    <w:lvl w:ilvl="3">
      <w:start w:val="1"/>
      <w:numFmt w:val="decimal"/>
      <w:lvlText w:val="%1.%2.%3.%4"/>
      <w:lvlJc w:val="left"/>
      <w:pPr>
        <w:tabs>
          <w:tab w:val="num" w:pos="1440"/>
        </w:tabs>
        <w:ind w:left="1440" w:hanging="1080"/>
      </w:pPr>
      <w:rPr>
        <w:b w:val="false"/>
      </w:rPr>
    </w:lvl>
    <w:lvl w:ilvl="4">
      <w:start w:val="1"/>
      <w:numFmt w:val="decimal"/>
      <w:lvlText w:val="%1.%2.%3.%4.%5"/>
      <w:lvlJc w:val="left"/>
      <w:pPr>
        <w:tabs>
          <w:tab w:val="num" w:pos="1440"/>
        </w:tabs>
        <w:ind w:left="1440" w:hanging="1080"/>
      </w:pPr>
      <w:rPr>
        <w:b w:val="false"/>
      </w:rPr>
    </w:lvl>
    <w:lvl w:ilvl="5">
      <w:start w:val="1"/>
      <w:numFmt w:val="decimal"/>
      <w:lvlText w:val="%1.%2.%3.%4.%5.%6"/>
      <w:lvlJc w:val="left"/>
      <w:pPr>
        <w:tabs>
          <w:tab w:val="num" w:pos="1800"/>
        </w:tabs>
        <w:ind w:left="1800" w:hanging="1440"/>
      </w:pPr>
      <w:rPr>
        <w:b w:val="false"/>
      </w:rPr>
    </w:lvl>
    <w:lvl w:ilvl="6">
      <w:start w:val="1"/>
      <w:numFmt w:val="decimal"/>
      <w:lvlText w:val="%1.%2.%3.%4.%5.%6.%7"/>
      <w:lvlJc w:val="left"/>
      <w:pPr>
        <w:tabs>
          <w:tab w:val="num" w:pos="1800"/>
        </w:tabs>
        <w:ind w:left="1800" w:hanging="1440"/>
      </w:pPr>
      <w:rPr>
        <w:b w:val="false"/>
      </w:rPr>
    </w:lvl>
    <w:lvl w:ilvl="7">
      <w:start w:val="1"/>
      <w:numFmt w:val="decimal"/>
      <w:lvlText w:val="%1.%2.%3.%4.%5.%6.%7.%8"/>
      <w:lvlJc w:val="left"/>
      <w:pPr>
        <w:tabs>
          <w:tab w:val="num" w:pos="2160"/>
        </w:tabs>
        <w:ind w:left="2160" w:hanging="1800"/>
      </w:pPr>
      <w:rPr>
        <w:b w:val="false"/>
      </w:rPr>
    </w:lvl>
    <w:lvl w:ilvl="8">
      <w:start w:val="1"/>
      <w:numFmt w:val="decimal"/>
      <w:lvlText w:val="%1.%2.%3.%4.%5.%6.%7.%8.%9"/>
      <w:lvlJc w:val="left"/>
      <w:pPr>
        <w:tabs>
          <w:tab w:val="num" w:pos="2520"/>
        </w:tabs>
        <w:ind w:left="2520" w:hanging="2160"/>
      </w:pPr>
      <w:rPr>
        <w:b w:val="fals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paragraph" w:styleId="Heading1">
    <w:name w:val="Heading 1"/>
    <w:basedOn w:val="Normal"/>
    <w:next w:val="Normal"/>
    <w:qFormat/>
    <w:pPr>
      <w:keepNext w:val="true"/>
      <w:numPr>
        <w:ilvl w:val="0"/>
        <w:numId w:val="1"/>
      </w:numPr>
      <w:pBdr>
        <w:top w:val="single" w:sz="12" w:space="1" w:color="000000"/>
      </w:pBdr>
      <w:shd w:fill="FFFFFF" w:val="clear"/>
      <w:jc w:val="center"/>
      <w:outlineLvl w:val="0"/>
    </w:pPr>
    <w:rPr>
      <w:b/>
      <w:sz w:val="56"/>
      <w:szCs w:val="20"/>
    </w:rPr>
  </w:style>
  <w:style w:type="paragraph" w:styleId="Heading2">
    <w:name w:val="Heading 2"/>
    <w:basedOn w:val="Normal"/>
    <w:next w:val="Normal"/>
    <w:qFormat/>
    <w:pPr>
      <w:keepNext w:val="true"/>
      <w:numPr>
        <w:ilvl w:val="1"/>
        <w:numId w:val="1"/>
      </w:numPr>
      <w:pBdr>
        <w:top w:val="single" w:sz="12" w:space="1" w:color="000000"/>
      </w:pBdr>
      <w:shd w:fill="FFFFFF" w:val="clear"/>
      <w:jc w:val="center"/>
      <w:outlineLvl w:val="1"/>
    </w:pPr>
    <w:rPr>
      <w:b/>
      <w:sz w:val="28"/>
      <w:szCs w:val="20"/>
    </w:rPr>
  </w:style>
  <w:style w:type="character" w:styleId="WW8Num1z0">
    <w:name w:val="WW8Num1z0"/>
    <w:qFormat/>
    <w:rPr>
      <w:b w:val="false"/>
      <w:sz w:val="28"/>
      <w:szCs w:val="28"/>
    </w:rPr>
  </w:style>
  <w:style w:type="character" w:styleId="WW8Num2z0">
    <w:name w:val="WW8Num2z0"/>
    <w:qFormat/>
    <w:rPr>
      <w:b w:val="false"/>
    </w:rPr>
  </w:style>
  <w:style w:type="character" w:styleId="WW8Num3z0">
    <w:name w:val="WW8Num3z0"/>
    <w:qFormat/>
    <w:rPr/>
  </w:style>
  <w:style w:type="character" w:styleId="WW8Num4z0">
    <w:name w:val="WW8Num4z0"/>
    <w:qFormat/>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7z0">
    <w:name w:val="WW8Num7z0"/>
    <w:qFormat/>
    <w:rPr/>
  </w:style>
  <w:style w:type="character" w:styleId="WW8Num8z0">
    <w:name w:val="WW8Num8z0"/>
    <w:qFormat/>
    <w:rPr/>
  </w:style>
  <w:style w:type="character" w:styleId="WW8Num9z0">
    <w:name w:val="WW8Num9z0"/>
    <w:qFormat/>
    <w:rPr>
      <w:rFonts w:ascii="Symbol" w:hAnsi="Symbol" w:cs="Symbo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0">
    <w:name w:val="WW8Num10z0"/>
    <w:qFormat/>
    <w:rPr/>
  </w:style>
  <w:style w:type="character" w:styleId="WW8Num11z0">
    <w:name w:val="WW8Num11z0"/>
    <w:qFormat/>
    <w:rPr/>
  </w:style>
  <w:style w:type="character" w:styleId="WW8Num12z0">
    <w:name w:val="WW8Num12z0"/>
    <w:qFormat/>
    <w:rPr/>
  </w:style>
  <w:style w:type="character" w:styleId="WW8Num13z0">
    <w:name w:val="WW8Num13z0"/>
    <w:qFormat/>
    <w:rPr/>
  </w:style>
  <w:style w:type="character" w:styleId="WW8Num14z0">
    <w:name w:val="WW8Num14z0"/>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5z0">
    <w:name w:val="WW8Num15z0"/>
    <w:qFormat/>
    <w:rPr>
      <w:rFonts w:ascii="Symbol" w:hAnsi="Symbol" w:cs="Symbo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7z0">
    <w:name w:val="WW8Num17z0"/>
    <w:qFormat/>
    <w:rPr/>
  </w:style>
  <w:style w:type="character" w:styleId="WW8Num18z0">
    <w:name w:val="WW8Num18z0"/>
    <w:qFormat/>
    <w:rPr/>
  </w:style>
  <w:style w:type="character" w:styleId="WW8Num19z0">
    <w:name w:val="WW8Num19z0"/>
    <w:qFormat/>
    <w:rPr>
      <w:rFonts w:ascii="Symbol" w:hAnsi="Symbol" w:cs="Symbol"/>
    </w:rPr>
  </w:style>
  <w:style w:type="character" w:styleId="WW8Num19z1">
    <w:name w:val="WW8Num19z1"/>
    <w:qFormat/>
    <w:rPr>
      <w:rFonts w:ascii="Courier New" w:hAnsi="Courier New" w:cs="Courier New"/>
    </w:rPr>
  </w:style>
  <w:style w:type="character" w:styleId="WW8Num19z2">
    <w:name w:val="WW8Num19z2"/>
    <w:qFormat/>
    <w:rPr>
      <w:rFonts w:ascii="Wingdings" w:hAnsi="Wingdings" w:cs="Wingdings"/>
    </w:rPr>
  </w:style>
  <w:style w:type="character" w:styleId="WW8Num20z0">
    <w:name w:val="WW8Num20z0"/>
    <w:qFormat/>
    <w:rPr/>
  </w:style>
  <w:style w:type="character" w:styleId="WW8Num21z0">
    <w:name w:val="WW8Num21z0"/>
    <w:qFormat/>
    <w:rPr>
      <w:rFonts w:ascii="Symbol" w:hAnsi="Symbol" w:cs="Symbol"/>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2z0">
    <w:name w:val="WW8Num22z0"/>
    <w:qFormat/>
    <w:rPr>
      <w:rFonts w:ascii="Symbol" w:hAnsi="Symbol" w:cs="Symbol"/>
    </w:rPr>
  </w:style>
  <w:style w:type="character" w:styleId="WW8Num22z1">
    <w:name w:val="WW8Num22z1"/>
    <w:qFormat/>
    <w:rPr>
      <w:rFonts w:ascii="Courier New" w:hAnsi="Courier New" w:cs="Courier New"/>
    </w:rPr>
  </w:style>
  <w:style w:type="character" w:styleId="WW8Num22z2">
    <w:name w:val="WW8Num22z2"/>
    <w:qFormat/>
    <w:rPr>
      <w:rFonts w:ascii="Wingdings" w:hAnsi="Wingdings" w:cs="Wingdings"/>
    </w:rPr>
  </w:style>
  <w:style w:type="character" w:styleId="WW8Num23z0">
    <w:name w:val="WW8Num23z0"/>
    <w:qFormat/>
    <w:rPr/>
  </w:style>
  <w:style w:type="character" w:styleId="WW8Num23z1">
    <w:name w:val="WW8Num23z1"/>
    <w:qFormat/>
    <w:rPr>
      <w:b w:val="false"/>
    </w:rPr>
  </w:style>
  <w:style w:type="character" w:styleId="WW8Num24z0">
    <w:name w:val="WW8Num24z0"/>
    <w:qFormat/>
    <w:rPr/>
  </w:style>
  <w:style w:type="character" w:styleId="DefaultParagraphFont">
    <w:name w:val="Default Paragraph Font"/>
    <w:qFormat/>
    <w:rPr/>
  </w:style>
  <w:style w:type="character" w:styleId="PageNumber">
    <w:name w:val="Page Number"/>
    <w:basedOn w:val="DefaultParagraphFont"/>
    <w:rPr/>
  </w:style>
  <w:style w:type="paragraph" w:styleId="Heading">
    <w:name w:val="Heading"/>
    <w:basedOn w:val="Normal"/>
    <w:next w:val="TextBody"/>
    <w:qFormat/>
    <w:pPr>
      <w:jc w:val="center"/>
    </w:pPr>
    <w:rPr>
      <w:sz w:val="28"/>
      <w:szCs w:val="20"/>
    </w:rPr>
  </w:style>
  <w:style w:type="paragraph" w:styleId="TextBody">
    <w:name w:val="Body Text"/>
    <w:basedOn w:val="Normal"/>
    <w:pPr>
      <w:jc w:val="center"/>
    </w:pPr>
    <w:rPr>
      <w:b/>
      <w:sz w:val="36"/>
      <w:szCs w:val="20"/>
      <w:u w:val="single"/>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BodyText2">
    <w:name w:val="Body Text 2"/>
    <w:basedOn w:val="Normal"/>
    <w:qFormat/>
    <w:pPr>
      <w:spacing w:lineRule="auto" w:line="480" w:before="0" w:after="120"/>
    </w:pPr>
    <w:rPr/>
  </w:style>
  <w:style w:type="paragraph" w:styleId="PlainText">
    <w:name w:val="Plain Text"/>
    <w:basedOn w:val="Normal"/>
    <w:qFormat/>
    <w:pPr/>
    <w:rPr>
      <w:rFonts w:ascii="Courier New" w:hAnsi="Courier New" w:cs="Courier New"/>
      <w:sz w:val="20"/>
      <w:szCs w:val="20"/>
    </w:rPr>
  </w:style>
  <w:style w:type="paragraph" w:styleId="BodyTextIndent3">
    <w:name w:val="Body Text Indent 3"/>
    <w:basedOn w:val="Normal"/>
    <w:qFormat/>
    <w:pPr>
      <w:spacing w:before="0" w:after="120"/>
      <w:ind w:left="283" w:hanging="0"/>
    </w:pPr>
    <w:rPr>
      <w:sz w:val="16"/>
      <w:szCs w:val="16"/>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oleObject" Target="embeddings/oleObject1.bin"/><Relationship Id="rId5" Type="http://schemas.openxmlformats.org/officeDocument/2006/relationships/image" Target="media/image3.wmf"/><Relationship Id="rId6" Type="http://schemas.openxmlformats.org/officeDocument/2006/relationships/oleObject" Target="embeddings/oleObject2.bin"/><Relationship Id="rId7" Type="http://schemas.openxmlformats.org/officeDocument/2006/relationships/image" Target="media/image4.wmf"/><Relationship Id="rId8" Type="http://schemas.openxmlformats.org/officeDocument/2006/relationships/oleObject" Target="embeddings/oleObject3.bin"/><Relationship Id="rId9" Type="http://schemas.openxmlformats.org/officeDocument/2006/relationships/image" Target="media/image5.wmf"/><Relationship Id="rId10" Type="http://schemas.openxmlformats.org/officeDocument/2006/relationships/oleObject" Target="embeddings/oleObject4.bin"/><Relationship Id="rId11" Type="http://schemas.openxmlformats.org/officeDocument/2006/relationships/image" Target="media/image6.wmf"/><Relationship Id="rId12" Type="http://schemas.openxmlformats.org/officeDocument/2006/relationships/oleObject" Target="embeddings/oleObject5.bin"/><Relationship Id="rId13" Type="http://schemas.openxmlformats.org/officeDocument/2006/relationships/image" Target="media/image7.wmf"/><Relationship Id="rId14" Type="http://schemas.openxmlformats.org/officeDocument/2006/relationships/oleObject" Target="embeddings/oleObject6.bin"/><Relationship Id="rId15" Type="http://schemas.openxmlformats.org/officeDocument/2006/relationships/image" Target="media/image8.wmf"/><Relationship Id="rId16" Type="http://schemas.openxmlformats.org/officeDocument/2006/relationships/oleObject" Target="embeddings/oleObject7.bin"/><Relationship Id="rId17" Type="http://schemas.openxmlformats.org/officeDocument/2006/relationships/image" Target="media/image9.wmf"/><Relationship Id="rId18" Type="http://schemas.openxmlformats.org/officeDocument/2006/relationships/footer" Target="footer1.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1</TotalTime>
  <Application>LibreOffice/7.5.3.2$Linux_X86_64 LibreOffice_project/50$Build-2</Application>
  <AppVersion>15.0000</AppVersion>
  <Pages>68</Pages>
  <Words>12497</Words>
  <Characters>71952</Characters>
  <CharactersWithSpaces>83382</CharactersWithSpaces>
  <Paragraphs>1293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2005-05-28T07:47:00Z</dcterms:created>
  <dc:creator>Boyko Petrpv</dc:creator>
  <dc:description/>
  <cp:keywords/>
  <dc:language>en-US</dc:language>
  <cp:lastModifiedBy>Boyko Petrpv</cp:lastModifiedBy>
  <cp:lastPrinted>2005-05-16T18:18:00Z</cp:lastPrinted>
  <dcterms:modified xsi:type="dcterms:W3CDTF">2005-05-28T07:47:00Z</dcterms:modified>
  <cp:revision>2</cp:revision>
  <dc:subject/>
  <dc:title>І</dc:title>
</cp:coreProperties>
</file>